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1F8C613" w14:textId="77777777" w:rsidR="00DC3274" w:rsidRPr="00A617A3" w:rsidRDefault="00DC3274" w:rsidP="000255C7">
      <w:pPr>
        <w:pStyle w:val="Corpotesto"/>
        <w:spacing w:before="120"/>
        <w:ind w:right="-7"/>
        <w:rPr>
          <w:rFonts w:ascii="Times New Roman"/>
          <w:b/>
          <w:bCs/>
          <w:color w:val="FF0000"/>
          <w:sz w:val="20"/>
        </w:rPr>
      </w:pPr>
    </w:p>
    <w:p w14:paraId="06EF565A" w14:textId="2B585595" w:rsidR="00A30293" w:rsidRPr="00AB2694" w:rsidRDefault="00A30293" w:rsidP="00A30293">
      <w:pPr>
        <w:spacing w:before="434" w:line="244" w:lineRule="exact"/>
        <w:jc w:val="center"/>
        <w:textAlignment w:val="baseline"/>
        <w:rPr>
          <w:rFonts w:eastAsia="Tahoma" w:cs="Times New Roman"/>
          <w:b/>
          <w:color w:val="000000"/>
          <w:spacing w:val="41"/>
          <w:sz w:val="30"/>
          <w:szCs w:val="30"/>
          <w:lang w:bidi="ar-SA"/>
        </w:rPr>
      </w:pPr>
      <w:r w:rsidRPr="00AB2694">
        <w:rPr>
          <w:rFonts w:eastAsia="Tahoma"/>
          <w:b/>
          <w:color w:val="000000"/>
          <w:spacing w:val="41"/>
          <w:sz w:val="30"/>
          <w:szCs w:val="30"/>
        </w:rPr>
        <w:t>PROCEDURA PER IL SUBAFFIDAMENTO</w:t>
      </w:r>
      <w:r w:rsidR="003642EB">
        <w:rPr>
          <w:rStyle w:val="Rimandonotaapidipagina"/>
          <w:rFonts w:eastAsia="Tahoma"/>
          <w:b/>
          <w:color w:val="000000"/>
          <w:spacing w:val="41"/>
          <w:sz w:val="30"/>
          <w:szCs w:val="30"/>
        </w:rPr>
        <w:footnoteReference w:id="1"/>
      </w:r>
    </w:p>
    <w:p w14:paraId="26D066FB" w14:textId="77777777" w:rsidR="00A30293" w:rsidRPr="00AB2694" w:rsidRDefault="00A30293" w:rsidP="00AB2694">
      <w:pPr>
        <w:spacing w:before="120"/>
        <w:jc w:val="both"/>
        <w:textAlignment w:val="baseline"/>
        <w:rPr>
          <w:rFonts w:eastAsia="Tahoma"/>
          <w:b/>
          <w:color w:val="000000"/>
          <w:spacing w:val="1"/>
        </w:rPr>
      </w:pPr>
      <w:r w:rsidRPr="00AB2694">
        <w:rPr>
          <w:rFonts w:eastAsia="Tahoma"/>
          <w:b/>
          <w:color w:val="000000"/>
          <w:spacing w:val="1"/>
        </w:rPr>
        <w:t>Non sono soggetti ad autorizzazione da parte della Stazione Appaltante i subcontratti c.d. similari, quali forniture senza prestazione di manodopera, le forniture con posa in opera ed i noli a caldo, se singolarmente di importo inferiore al 2% dell'importo delle prestazioni affidate o di importo inferiore a 100.000,00 euro e qualora l'incidenza della manodopera e del personale non sia superiore al 50% dell'importo del contratto da affidare.</w:t>
      </w:r>
    </w:p>
    <w:p w14:paraId="240B6C13" w14:textId="77777777" w:rsidR="00A30293" w:rsidRDefault="00A30293" w:rsidP="00AA0A22">
      <w:pPr>
        <w:spacing w:before="120"/>
        <w:jc w:val="both"/>
        <w:textAlignment w:val="baseline"/>
        <w:rPr>
          <w:rFonts w:eastAsia="Tahoma"/>
          <w:bCs/>
          <w:color w:val="000000"/>
          <w:spacing w:val="12"/>
        </w:rPr>
      </w:pPr>
      <w:r w:rsidRPr="009C7359">
        <w:rPr>
          <w:rFonts w:eastAsia="Tahoma"/>
          <w:bCs/>
          <w:color w:val="000000"/>
          <w:spacing w:val="12"/>
        </w:rPr>
        <w:t>L'appaltatore dovrà comunicare alla Stazione Appaltante l'intenzione di voler affidare le prestazioni, prima dell'inizio delle stesse, e dovrà produrre quanto di seguito elencato:</w:t>
      </w:r>
    </w:p>
    <w:p w14:paraId="4A20AB34" w14:textId="77777777" w:rsidR="00C90924" w:rsidRPr="009C7359" w:rsidRDefault="00C90924" w:rsidP="00AA0A22">
      <w:pPr>
        <w:spacing w:before="120"/>
        <w:jc w:val="both"/>
        <w:textAlignment w:val="baseline"/>
        <w:rPr>
          <w:rFonts w:eastAsia="Tahoma"/>
          <w:bCs/>
          <w:color w:val="000000"/>
          <w:spacing w:val="12"/>
        </w:rPr>
      </w:pPr>
    </w:p>
    <w:p w14:paraId="3C5FB102" w14:textId="0D896614" w:rsidR="0000311B" w:rsidRDefault="00A30293" w:rsidP="0000311B">
      <w:pPr>
        <w:tabs>
          <w:tab w:val="left" w:pos="679"/>
          <w:tab w:val="left" w:pos="680"/>
        </w:tabs>
        <w:spacing w:before="120"/>
        <w:ind w:right="-7"/>
        <w:rPr>
          <w:b/>
          <w:bCs/>
          <w:color w:val="FF0000"/>
        </w:rPr>
      </w:pPr>
      <w:r w:rsidRPr="0000311B">
        <w:rPr>
          <w:rFonts w:eastAsia="Bookman Old Style"/>
          <w:color w:val="000000"/>
          <w:spacing w:val="9"/>
        </w:rPr>
        <w:t>•</w:t>
      </w:r>
      <w:r w:rsidRPr="0000311B">
        <w:rPr>
          <w:rFonts w:eastAsia="Bookman Old Style"/>
          <w:color w:val="000000"/>
          <w:spacing w:val="9"/>
        </w:rPr>
        <w:tab/>
      </w:r>
      <w:r w:rsidRPr="0000311B">
        <w:rPr>
          <w:rFonts w:eastAsia="Tahoma"/>
          <w:b/>
          <w:color w:val="000000"/>
          <w:spacing w:val="9"/>
        </w:rPr>
        <w:t>Comunicazione subcontratto. (vedi Modello 1)</w:t>
      </w:r>
      <w:r w:rsidR="0000311B" w:rsidRPr="0000311B">
        <w:rPr>
          <w:rFonts w:eastAsia="Tahoma"/>
          <w:b/>
          <w:color w:val="000000"/>
          <w:spacing w:val="9"/>
        </w:rPr>
        <w:t xml:space="preserve"> </w:t>
      </w:r>
      <w:r w:rsidR="0000311B" w:rsidRPr="0000311B">
        <w:rPr>
          <w:b/>
          <w:bCs/>
          <w:color w:val="FF0000"/>
        </w:rPr>
        <w:t xml:space="preserve">Controllo </w:t>
      </w:r>
      <w:proofErr w:type="spellStart"/>
      <w:r w:rsidR="0000311B" w:rsidRPr="0000311B">
        <w:rPr>
          <w:b/>
          <w:bCs/>
          <w:color w:val="FF0000"/>
        </w:rPr>
        <w:t>LeA</w:t>
      </w:r>
      <w:proofErr w:type="spellEnd"/>
      <w:r w:rsidR="009102A8">
        <w:rPr>
          <w:b/>
          <w:bCs/>
          <w:color w:val="FF0000"/>
        </w:rPr>
        <w:t xml:space="preserve"> </w:t>
      </w:r>
      <w:r w:rsidR="0000311B" w:rsidRPr="0000311B">
        <w:rPr>
          <w:b/>
          <w:bCs/>
          <w:color w:val="FF0000"/>
        </w:rPr>
        <w:t>/</w:t>
      </w:r>
      <w:r w:rsidR="009102A8">
        <w:rPr>
          <w:b/>
          <w:bCs/>
          <w:color w:val="FF0000"/>
        </w:rPr>
        <w:t xml:space="preserve"> </w:t>
      </w:r>
      <w:r w:rsidR="0000311B" w:rsidRPr="0000311B">
        <w:rPr>
          <w:b/>
          <w:bCs/>
          <w:color w:val="FF0000"/>
        </w:rPr>
        <w:t>DL</w:t>
      </w:r>
    </w:p>
    <w:p w14:paraId="6D36BC04" w14:textId="77777777" w:rsidR="00AA0F70" w:rsidRDefault="00AA0F70" w:rsidP="0000311B">
      <w:pPr>
        <w:tabs>
          <w:tab w:val="left" w:pos="679"/>
          <w:tab w:val="left" w:pos="680"/>
        </w:tabs>
        <w:spacing w:before="120"/>
        <w:ind w:right="-7"/>
      </w:pPr>
    </w:p>
    <w:p w14:paraId="5747691C" w14:textId="048AEC08" w:rsidR="00AA0A22" w:rsidRDefault="00A30293" w:rsidP="00AA0A22">
      <w:pPr>
        <w:tabs>
          <w:tab w:val="left" w:pos="576"/>
        </w:tabs>
        <w:spacing w:before="120"/>
        <w:jc w:val="both"/>
        <w:textAlignment w:val="baseline"/>
        <w:rPr>
          <w:b/>
          <w:bCs/>
          <w:color w:val="FF0000"/>
        </w:rPr>
      </w:pPr>
      <w:r w:rsidRPr="00AB2694">
        <w:rPr>
          <w:rFonts w:eastAsia="Bookman Old Style"/>
          <w:color w:val="000000"/>
        </w:rPr>
        <w:t>•</w:t>
      </w:r>
      <w:r w:rsidRPr="00AB2694">
        <w:rPr>
          <w:rFonts w:eastAsia="Bookman Old Style"/>
          <w:color w:val="000000"/>
        </w:rPr>
        <w:tab/>
      </w:r>
      <w:r w:rsidRPr="00AB2694">
        <w:rPr>
          <w:rFonts w:eastAsia="Tahoma"/>
          <w:b/>
          <w:color w:val="000000"/>
        </w:rPr>
        <w:t>Copia dell'ordine/contratto</w:t>
      </w:r>
      <w:r w:rsidR="00342409">
        <w:rPr>
          <w:rFonts w:eastAsia="Tahoma"/>
          <w:b/>
          <w:color w:val="000000"/>
        </w:rPr>
        <w:t xml:space="preserve"> </w:t>
      </w:r>
      <w:r w:rsidR="00342409" w:rsidRPr="00342409">
        <w:rPr>
          <w:rFonts w:eastAsia="Tahoma"/>
          <w:b/>
          <w:color w:val="365F91" w:themeColor="accent1" w:themeShade="BF"/>
        </w:rPr>
        <w:t>sottoscritto da entrambe i contraenti</w:t>
      </w:r>
      <w:r w:rsidR="00AA0A22">
        <w:rPr>
          <w:rFonts w:eastAsia="Tahoma"/>
          <w:b/>
          <w:color w:val="365F91" w:themeColor="accent1" w:themeShade="BF"/>
        </w:rPr>
        <w:t xml:space="preserve"> nel quale si evidenzi</w:t>
      </w:r>
      <w:r w:rsidR="005B132B">
        <w:rPr>
          <w:rFonts w:eastAsia="Tahoma"/>
          <w:b/>
          <w:color w:val="365F91" w:themeColor="accent1" w:themeShade="BF"/>
        </w:rPr>
        <w:t xml:space="preserve"> come la linea guida sotto</w:t>
      </w:r>
      <w:r w:rsidR="00AA0A22">
        <w:rPr>
          <w:rFonts w:eastAsia="Tahoma"/>
          <w:b/>
          <w:color w:val="365F91" w:themeColor="accent1" w:themeShade="BF"/>
        </w:rPr>
        <w:t>:</w:t>
      </w:r>
      <w:r w:rsidR="0000311B">
        <w:rPr>
          <w:rFonts w:eastAsia="Tahoma"/>
          <w:b/>
          <w:color w:val="365F91" w:themeColor="accent1" w:themeShade="BF"/>
        </w:rPr>
        <w:t xml:space="preserve"> </w:t>
      </w:r>
      <w:r w:rsidR="009102A8" w:rsidRPr="0000311B">
        <w:rPr>
          <w:b/>
          <w:bCs/>
          <w:color w:val="FF0000"/>
        </w:rPr>
        <w:t xml:space="preserve">Controllo </w:t>
      </w:r>
      <w:proofErr w:type="spellStart"/>
      <w:r w:rsidR="009102A8" w:rsidRPr="0000311B">
        <w:rPr>
          <w:b/>
          <w:bCs/>
          <w:color w:val="FF0000"/>
        </w:rPr>
        <w:t>LeA</w:t>
      </w:r>
      <w:proofErr w:type="spellEnd"/>
      <w:r w:rsidR="009102A8">
        <w:rPr>
          <w:b/>
          <w:bCs/>
          <w:color w:val="FF0000"/>
        </w:rPr>
        <w:t xml:space="preserve"> </w:t>
      </w:r>
      <w:r w:rsidR="009102A8" w:rsidRPr="0000311B">
        <w:rPr>
          <w:b/>
          <w:bCs/>
          <w:color w:val="FF0000"/>
        </w:rPr>
        <w:t>/</w:t>
      </w:r>
      <w:r w:rsidR="009102A8">
        <w:rPr>
          <w:b/>
          <w:bCs/>
          <w:color w:val="FF0000"/>
        </w:rPr>
        <w:t xml:space="preserve"> </w:t>
      </w:r>
      <w:r w:rsidR="009102A8" w:rsidRPr="0000311B">
        <w:rPr>
          <w:b/>
          <w:bCs/>
          <w:color w:val="FF0000"/>
        </w:rPr>
        <w:t>DL</w:t>
      </w:r>
      <w:r w:rsidR="009102A8">
        <w:rPr>
          <w:b/>
          <w:bCs/>
          <w:color w:val="FF0000"/>
        </w:rPr>
        <w:t xml:space="preserve"> </w:t>
      </w:r>
      <w:r w:rsidR="00D47EDD">
        <w:rPr>
          <w:b/>
          <w:bCs/>
          <w:color w:val="FF0000"/>
        </w:rPr>
        <w:t>/</w:t>
      </w:r>
      <w:r w:rsidR="00D47EDD" w:rsidRPr="00D47EDD">
        <w:rPr>
          <w:b/>
          <w:bCs/>
          <w:color w:val="FF0000"/>
        </w:rPr>
        <w:t xml:space="preserve"> </w:t>
      </w:r>
      <w:r w:rsidR="00D47EDD">
        <w:rPr>
          <w:b/>
          <w:bCs/>
          <w:color w:val="FF0000"/>
        </w:rPr>
        <w:t>Segreteria</w:t>
      </w:r>
    </w:p>
    <w:p w14:paraId="5CF1B979" w14:textId="77777777" w:rsidR="00AA0F70" w:rsidRDefault="00AA0F70" w:rsidP="00AA0A22">
      <w:pPr>
        <w:tabs>
          <w:tab w:val="left" w:pos="576"/>
        </w:tabs>
        <w:spacing w:before="120"/>
        <w:jc w:val="both"/>
        <w:textAlignment w:val="baseline"/>
        <w:rPr>
          <w:rFonts w:eastAsia="Tahoma"/>
          <w:b/>
          <w:color w:val="365F91" w:themeColor="accent1" w:themeShade="BF"/>
        </w:rPr>
      </w:pPr>
    </w:p>
    <w:p w14:paraId="429A607F" w14:textId="75A2EFAF" w:rsidR="005B132B" w:rsidRPr="009D4217" w:rsidRDefault="00AA0A22" w:rsidP="000670A4">
      <w:pPr>
        <w:pStyle w:val="Paragrafoelenco"/>
        <w:numPr>
          <w:ilvl w:val="0"/>
          <w:numId w:val="6"/>
        </w:numPr>
        <w:tabs>
          <w:tab w:val="left" w:pos="576"/>
        </w:tabs>
        <w:spacing w:before="120"/>
        <w:jc w:val="both"/>
        <w:textAlignment w:val="baseline"/>
        <w:rPr>
          <w:rFonts w:eastAsia="Tahoma"/>
          <w:bCs/>
          <w:color w:val="365F91" w:themeColor="accent1" w:themeShade="BF"/>
        </w:rPr>
      </w:pPr>
      <w:r w:rsidRPr="005B132B">
        <w:rPr>
          <w:rFonts w:eastAsia="Tahoma"/>
          <w:b/>
          <w:color w:val="365F91" w:themeColor="accent1" w:themeShade="BF"/>
          <w:u w:val="single"/>
        </w:rPr>
        <w:t>Descrizione bene</w:t>
      </w:r>
      <w:r w:rsidR="005B132B" w:rsidRPr="005B132B">
        <w:rPr>
          <w:rFonts w:eastAsia="Tahoma"/>
          <w:b/>
          <w:color w:val="365F91" w:themeColor="accent1" w:themeShade="BF"/>
          <w:u w:val="single"/>
        </w:rPr>
        <w:t xml:space="preserve"> / prestazione</w:t>
      </w:r>
      <w:r w:rsidRPr="005B132B">
        <w:rPr>
          <w:rFonts w:eastAsia="Tahoma"/>
          <w:b/>
          <w:color w:val="365F91" w:themeColor="accent1" w:themeShade="BF"/>
        </w:rPr>
        <w:t xml:space="preserve">: </w:t>
      </w:r>
      <w:r w:rsidRPr="005B132B">
        <w:rPr>
          <w:rFonts w:eastAsia="Tahoma"/>
          <w:bCs/>
          <w:color w:val="365F91" w:themeColor="accent1" w:themeShade="BF"/>
        </w:rPr>
        <w:t xml:space="preserve">la descrizione dettagliata del bene (o dei beni), da inserire nel </w:t>
      </w:r>
      <w:r w:rsidRPr="009D4217">
        <w:rPr>
          <w:rFonts w:eastAsia="Tahoma"/>
          <w:bCs/>
          <w:color w:val="365F91" w:themeColor="accent1" w:themeShade="BF"/>
        </w:rPr>
        <w:t>contratto o in allegato</w:t>
      </w:r>
      <w:r w:rsidR="005B132B" w:rsidRPr="009D4217">
        <w:rPr>
          <w:rFonts w:eastAsia="Tahoma"/>
          <w:bCs/>
          <w:color w:val="365F91" w:themeColor="accent1" w:themeShade="BF"/>
        </w:rPr>
        <w:t xml:space="preserve"> - </w:t>
      </w:r>
      <w:r w:rsidR="005B132B" w:rsidRPr="009D4217">
        <w:rPr>
          <w:rFonts w:eastAsia="Tahoma"/>
          <w:bCs/>
          <w:color w:val="365F91" w:themeColor="accent1" w:themeShade="BF"/>
        </w:rPr>
        <w:t xml:space="preserve">Indicazione specifica e articolata </w:t>
      </w:r>
      <w:r w:rsidR="005B132B" w:rsidRPr="009D4217">
        <w:rPr>
          <w:rFonts w:eastAsia="Tahoma"/>
          <w:bCs/>
          <w:color w:val="365F91" w:themeColor="accent1" w:themeShade="BF"/>
        </w:rPr>
        <w:t xml:space="preserve">delle prestazioni </w:t>
      </w:r>
      <w:r w:rsidR="005B132B" w:rsidRPr="009D4217">
        <w:rPr>
          <w:rFonts w:eastAsia="Tahoma"/>
          <w:bCs/>
          <w:color w:val="365F91" w:themeColor="accent1" w:themeShade="BF"/>
        </w:rPr>
        <w:t xml:space="preserve"> </w:t>
      </w:r>
      <w:r w:rsidR="005B132B" w:rsidRPr="009D4217">
        <w:rPr>
          <w:rFonts w:eastAsia="Tahoma"/>
          <w:bCs/>
          <w:color w:val="365F91" w:themeColor="accent1" w:themeShade="BF"/>
        </w:rPr>
        <w:t>del subaffidamento;</w:t>
      </w:r>
    </w:p>
    <w:p w14:paraId="66E8D727" w14:textId="075C0D6D" w:rsidR="009D4217" w:rsidRPr="009D4217" w:rsidRDefault="009D4217" w:rsidP="009D4217">
      <w:pPr>
        <w:pStyle w:val="Paragrafoelenco"/>
        <w:numPr>
          <w:ilvl w:val="0"/>
          <w:numId w:val="6"/>
        </w:numPr>
        <w:tabs>
          <w:tab w:val="left" w:pos="576"/>
        </w:tabs>
        <w:spacing w:before="120"/>
        <w:jc w:val="both"/>
        <w:textAlignment w:val="baseline"/>
        <w:rPr>
          <w:rFonts w:eastAsia="Tahoma"/>
          <w:bCs/>
          <w:color w:val="365F91" w:themeColor="accent1" w:themeShade="BF"/>
        </w:rPr>
      </w:pPr>
      <w:r>
        <w:rPr>
          <w:rFonts w:eastAsia="Tahoma"/>
          <w:b/>
          <w:color w:val="365F91" w:themeColor="accent1" w:themeShade="BF"/>
          <w:u w:val="single"/>
        </w:rPr>
        <w:t>D</w:t>
      </w:r>
      <w:r w:rsidRPr="009D4217">
        <w:rPr>
          <w:rFonts w:eastAsia="Tahoma"/>
          <w:b/>
          <w:color w:val="365F91" w:themeColor="accent1" w:themeShade="BF"/>
          <w:u w:val="single"/>
        </w:rPr>
        <w:t xml:space="preserve">ichiarazione dell’impresa </w:t>
      </w:r>
      <w:r w:rsidRPr="009D4217">
        <w:rPr>
          <w:rFonts w:eastAsia="Tahoma"/>
          <w:bCs/>
          <w:color w:val="365F91" w:themeColor="accent1" w:themeShade="BF"/>
        </w:rPr>
        <w:t xml:space="preserve">di non essere oggetto di provvedimenti di sospensione o interdettivi di cui all’art. 14 del D.lgs. 81/2008 e </w:t>
      </w:r>
      <w:proofErr w:type="spellStart"/>
      <w:r w:rsidRPr="009D4217">
        <w:rPr>
          <w:rFonts w:eastAsia="Tahoma"/>
          <w:bCs/>
          <w:color w:val="365F91" w:themeColor="accent1" w:themeShade="BF"/>
        </w:rPr>
        <w:t>s.m.i.</w:t>
      </w:r>
      <w:proofErr w:type="spellEnd"/>
      <w:r w:rsidRPr="009D4217">
        <w:rPr>
          <w:rFonts w:eastAsia="Tahoma"/>
          <w:bCs/>
          <w:color w:val="365F91" w:themeColor="accent1" w:themeShade="BF"/>
        </w:rPr>
        <w:t>; iscrizione a Camera di Commercio. (1)</w:t>
      </w:r>
    </w:p>
    <w:p w14:paraId="49978842" w14:textId="69A7DFE0" w:rsidR="00AA0A22" w:rsidRPr="00AA0A22" w:rsidRDefault="00AA0A22" w:rsidP="00AA0A22">
      <w:pPr>
        <w:pStyle w:val="Paragrafoelenco"/>
        <w:numPr>
          <w:ilvl w:val="0"/>
          <w:numId w:val="6"/>
        </w:numPr>
        <w:tabs>
          <w:tab w:val="left" w:pos="576"/>
        </w:tabs>
        <w:spacing w:before="120"/>
        <w:jc w:val="both"/>
        <w:textAlignment w:val="baseline"/>
        <w:rPr>
          <w:rFonts w:eastAsia="Tahoma"/>
          <w:b/>
          <w:color w:val="365F91" w:themeColor="accent1" w:themeShade="BF"/>
        </w:rPr>
      </w:pPr>
      <w:r w:rsidRPr="00AA0A22">
        <w:rPr>
          <w:rFonts w:eastAsia="Tahoma"/>
          <w:b/>
          <w:color w:val="365F91" w:themeColor="accent1" w:themeShade="BF"/>
          <w:u w:val="single"/>
        </w:rPr>
        <w:t>Servizi accessori</w:t>
      </w:r>
      <w:r w:rsidRPr="00AA0A22">
        <w:rPr>
          <w:rFonts w:eastAsia="Tahoma"/>
          <w:b/>
          <w:color w:val="365F91" w:themeColor="accent1" w:themeShade="BF"/>
        </w:rPr>
        <w:t xml:space="preserve">: </w:t>
      </w:r>
      <w:r w:rsidRPr="0000311B">
        <w:rPr>
          <w:rFonts w:eastAsia="Tahoma"/>
          <w:bCs/>
          <w:color w:val="365F91" w:themeColor="accent1" w:themeShade="BF"/>
        </w:rPr>
        <w:t xml:space="preserve">includere </w:t>
      </w:r>
      <w:r w:rsidR="004C6DFB" w:rsidRPr="004C6DFB">
        <w:rPr>
          <w:rFonts w:eastAsia="Tahoma"/>
          <w:b/>
          <w:color w:val="FF0000"/>
        </w:rPr>
        <w:t>(</w:t>
      </w:r>
      <w:r w:rsidR="004C6DFB" w:rsidRPr="004C6DFB">
        <w:rPr>
          <w:rFonts w:eastAsia="Tahoma"/>
          <w:bCs/>
          <w:color w:val="FF0000"/>
        </w:rPr>
        <w:t xml:space="preserve">eventuale) </w:t>
      </w:r>
      <w:r w:rsidRPr="0000311B">
        <w:rPr>
          <w:rFonts w:eastAsia="Tahoma"/>
          <w:bCs/>
          <w:color w:val="365F91" w:themeColor="accent1" w:themeShade="BF"/>
        </w:rPr>
        <w:t>nel contratto anche servizi strumentali all'utilizzo del bene;</w:t>
      </w:r>
    </w:p>
    <w:p w14:paraId="55532D3C" w14:textId="5E253E85" w:rsidR="00AA0A22" w:rsidRPr="0000311B" w:rsidRDefault="00AA0F70" w:rsidP="00AA0A22">
      <w:pPr>
        <w:pStyle w:val="Paragrafoelenco"/>
        <w:numPr>
          <w:ilvl w:val="0"/>
          <w:numId w:val="6"/>
        </w:numPr>
        <w:tabs>
          <w:tab w:val="left" w:pos="576"/>
        </w:tabs>
        <w:spacing w:before="120"/>
        <w:jc w:val="both"/>
        <w:textAlignment w:val="baseline"/>
        <w:rPr>
          <w:rFonts w:eastAsia="Tahoma"/>
          <w:bCs/>
          <w:color w:val="365F91" w:themeColor="accent1" w:themeShade="BF"/>
        </w:rPr>
      </w:pPr>
      <w:r>
        <w:rPr>
          <w:rFonts w:eastAsia="Tahoma"/>
          <w:b/>
          <w:color w:val="365F91" w:themeColor="accent1" w:themeShade="BF"/>
          <w:u w:val="single"/>
        </w:rPr>
        <w:t>Costo</w:t>
      </w:r>
      <w:r w:rsidR="00AA0A22" w:rsidRPr="00AA0A22">
        <w:rPr>
          <w:rFonts w:eastAsia="Tahoma"/>
          <w:b/>
          <w:color w:val="365F91" w:themeColor="accent1" w:themeShade="BF"/>
          <w:u w:val="single"/>
        </w:rPr>
        <w:t>:</w:t>
      </w:r>
      <w:r w:rsidR="00AA0A22" w:rsidRPr="00AA0A22">
        <w:rPr>
          <w:rFonts w:eastAsia="Tahoma"/>
          <w:b/>
          <w:color w:val="365F91" w:themeColor="accent1" w:themeShade="BF"/>
        </w:rPr>
        <w:t xml:space="preserve"> </w:t>
      </w:r>
      <w:r w:rsidR="00AA0A22" w:rsidRPr="0000311B">
        <w:rPr>
          <w:rFonts w:eastAsia="Tahoma"/>
          <w:bCs/>
          <w:color w:val="365F91" w:themeColor="accent1" w:themeShade="BF"/>
        </w:rPr>
        <w:t xml:space="preserve">l’importo da corrispondere per </w:t>
      </w:r>
      <w:r>
        <w:rPr>
          <w:rFonts w:eastAsia="Tahoma"/>
          <w:bCs/>
          <w:color w:val="365F91" w:themeColor="accent1" w:themeShade="BF"/>
        </w:rPr>
        <w:t xml:space="preserve">forniture con posa in opera / nolo a caldo / e/o per </w:t>
      </w:r>
      <w:r w:rsidR="00AA0A22" w:rsidRPr="0000311B">
        <w:rPr>
          <w:rFonts w:eastAsia="Tahoma"/>
          <w:bCs/>
          <w:color w:val="365F91" w:themeColor="accent1" w:themeShade="BF"/>
        </w:rPr>
        <w:t>il godimento del bene</w:t>
      </w:r>
      <w:r>
        <w:rPr>
          <w:rFonts w:eastAsia="Tahoma"/>
          <w:bCs/>
          <w:color w:val="365F91" w:themeColor="accent1" w:themeShade="BF"/>
        </w:rPr>
        <w:t xml:space="preserve"> indicando se sarà</w:t>
      </w:r>
      <w:r w:rsidR="00AA0A22" w:rsidRPr="0000311B">
        <w:rPr>
          <w:rFonts w:eastAsia="Tahoma"/>
          <w:bCs/>
          <w:color w:val="365F91" w:themeColor="accent1" w:themeShade="BF"/>
        </w:rPr>
        <w:t xml:space="preserve"> pagato in un’unica soluzione o in più rate</w:t>
      </w:r>
      <w:r w:rsidR="005B132B">
        <w:rPr>
          <w:rFonts w:eastAsia="Tahoma"/>
          <w:bCs/>
          <w:color w:val="365F91" w:themeColor="accent1" w:themeShade="BF"/>
        </w:rPr>
        <w:t xml:space="preserve"> - </w:t>
      </w:r>
      <w:r w:rsidR="005B132B" w:rsidRPr="005B132B">
        <w:rPr>
          <w:rFonts w:eastAsia="Tahoma"/>
          <w:bCs/>
          <w:color w:val="365F91" w:themeColor="accent1" w:themeShade="BF"/>
        </w:rPr>
        <w:t xml:space="preserve">Importo complessivo del contratto distinto tra importo di opere e oneri della sicurezza e </w:t>
      </w:r>
      <w:proofErr w:type="gramStart"/>
      <w:r w:rsidR="005B132B" w:rsidRPr="005B132B">
        <w:rPr>
          <w:rFonts w:eastAsia="Tahoma"/>
          <w:bCs/>
          <w:color w:val="365F91" w:themeColor="accent1" w:themeShade="BF"/>
        </w:rPr>
        <w:t>manodopera;</w:t>
      </w:r>
      <w:r w:rsidR="00AA0A22" w:rsidRPr="0000311B">
        <w:rPr>
          <w:rFonts w:eastAsia="Tahoma"/>
          <w:bCs/>
          <w:color w:val="365F91" w:themeColor="accent1" w:themeShade="BF"/>
        </w:rPr>
        <w:t>;</w:t>
      </w:r>
      <w:proofErr w:type="gramEnd"/>
    </w:p>
    <w:p w14:paraId="72FB27CB" w14:textId="63F4CC31" w:rsidR="00AA0A22" w:rsidRPr="00AA0A22" w:rsidRDefault="00AA0A22" w:rsidP="00AA0A22">
      <w:pPr>
        <w:pStyle w:val="Paragrafoelenco"/>
        <w:numPr>
          <w:ilvl w:val="0"/>
          <w:numId w:val="6"/>
        </w:numPr>
        <w:tabs>
          <w:tab w:val="left" w:pos="576"/>
        </w:tabs>
        <w:spacing w:before="120"/>
        <w:jc w:val="both"/>
        <w:textAlignment w:val="baseline"/>
        <w:rPr>
          <w:rFonts w:eastAsia="Tahoma"/>
          <w:b/>
          <w:color w:val="365F91" w:themeColor="accent1" w:themeShade="BF"/>
        </w:rPr>
      </w:pPr>
      <w:r w:rsidRPr="00AA0A22">
        <w:rPr>
          <w:rFonts w:eastAsia="Tahoma"/>
          <w:b/>
          <w:color w:val="365F91" w:themeColor="accent1" w:themeShade="BF"/>
        </w:rPr>
        <w:t>C</w:t>
      </w:r>
      <w:r w:rsidRPr="00AA0A22">
        <w:rPr>
          <w:rFonts w:eastAsia="Tahoma"/>
          <w:b/>
          <w:color w:val="365F91" w:themeColor="accent1" w:themeShade="BF"/>
          <w:u w:val="single"/>
        </w:rPr>
        <w:t>auzione</w:t>
      </w:r>
      <w:r w:rsidRPr="00AA0A22">
        <w:rPr>
          <w:rFonts w:eastAsia="Tahoma"/>
          <w:b/>
          <w:color w:val="365F91" w:themeColor="accent1" w:themeShade="BF"/>
        </w:rPr>
        <w:t xml:space="preserve">: </w:t>
      </w:r>
      <w:r w:rsidR="004C6DFB" w:rsidRPr="004C6DFB">
        <w:rPr>
          <w:rFonts w:eastAsia="Tahoma"/>
          <w:b/>
          <w:color w:val="FF0000"/>
        </w:rPr>
        <w:t>(</w:t>
      </w:r>
      <w:r w:rsidRPr="004C6DFB">
        <w:rPr>
          <w:rFonts w:eastAsia="Tahoma"/>
          <w:bCs/>
          <w:color w:val="FF0000"/>
        </w:rPr>
        <w:t>eventuale</w:t>
      </w:r>
      <w:r w:rsidR="004C6DFB" w:rsidRPr="004C6DFB">
        <w:rPr>
          <w:rFonts w:eastAsia="Tahoma"/>
          <w:bCs/>
          <w:color w:val="FF0000"/>
        </w:rPr>
        <w:t>)</w:t>
      </w:r>
      <w:r w:rsidRPr="004C6DFB">
        <w:rPr>
          <w:rFonts w:eastAsia="Tahoma"/>
          <w:bCs/>
          <w:color w:val="FF0000"/>
        </w:rPr>
        <w:t xml:space="preserve"> </w:t>
      </w:r>
      <w:r w:rsidRPr="0000311B">
        <w:rPr>
          <w:rFonts w:eastAsia="Tahoma"/>
          <w:bCs/>
          <w:color w:val="365F91" w:themeColor="accent1" w:themeShade="BF"/>
        </w:rPr>
        <w:t>obbligo dell’utilizzatore di versare una somma a garanzia per ritardi, inadempimenti o danni</w:t>
      </w:r>
      <w:r w:rsidRPr="00AA0A22">
        <w:rPr>
          <w:rFonts w:eastAsia="Tahoma"/>
          <w:b/>
          <w:color w:val="365F91" w:themeColor="accent1" w:themeShade="BF"/>
        </w:rPr>
        <w:t>;</w:t>
      </w:r>
    </w:p>
    <w:p w14:paraId="28327E26" w14:textId="740C86C1" w:rsidR="00AA0A22" w:rsidRPr="00AA0A22" w:rsidRDefault="00AA0A22" w:rsidP="00AA0A22">
      <w:pPr>
        <w:pStyle w:val="Paragrafoelenco"/>
        <w:numPr>
          <w:ilvl w:val="0"/>
          <w:numId w:val="6"/>
        </w:numPr>
        <w:tabs>
          <w:tab w:val="left" w:pos="576"/>
        </w:tabs>
        <w:spacing w:before="120"/>
        <w:jc w:val="both"/>
        <w:textAlignment w:val="baseline"/>
        <w:rPr>
          <w:rFonts w:eastAsia="Tahoma"/>
          <w:b/>
          <w:color w:val="365F91" w:themeColor="accent1" w:themeShade="BF"/>
        </w:rPr>
      </w:pPr>
      <w:r w:rsidRPr="00AA0A22">
        <w:rPr>
          <w:rFonts w:eastAsia="Tahoma"/>
          <w:b/>
          <w:color w:val="365F91" w:themeColor="accent1" w:themeShade="BF"/>
          <w:u w:val="single"/>
        </w:rPr>
        <w:lastRenderedPageBreak/>
        <w:t>Durata</w:t>
      </w:r>
      <w:r w:rsidRPr="00AA0A22">
        <w:rPr>
          <w:rFonts w:eastAsia="Tahoma"/>
          <w:b/>
          <w:color w:val="365F91" w:themeColor="accent1" w:themeShade="BF"/>
        </w:rPr>
        <w:t xml:space="preserve">: </w:t>
      </w:r>
      <w:r w:rsidRPr="0000311B">
        <w:rPr>
          <w:rFonts w:eastAsia="Tahoma"/>
          <w:bCs/>
          <w:color w:val="365F91" w:themeColor="accent1" w:themeShade="BF"/>
        </w:rPr>
        <w:t>il periodo di utilizzo e godimento del bene</w:t>
      </w:r>
      <w:r w:rsidR="004C6DFB">
        <w:rPr>
          <w:rFonts w:eastAsia="Tahoma"/>
          <w:bCs/>
          <w:color w:val="365F91" w:themeColor="accent1" w:themeShade="BF"/>
        </w:rPr>
        <w:t xml:space="preserve"> – </w:t>
      </w:r>
      <w:r w:rsidR="00AA0F70">
        <w:rPr>
          <w:rFonts w:eastAsia="Tahoma"/>
          <w:bCs/>
          <w:color w:val="365F91" w:themeColor="accent1" w:themeShade="BF"/>
        </w:rPr>
        <w:t>della fornitura</w:t>
      </w:r>
      <w:r w:rsidR="004C6DFB">
        <w:rPr>
          <w:rFonts w:eastAsia="Tahoma"/>
          <w:bCs/>
          <w:color w:val="365F91" w:themeColor="accent1" w:themeShade="BF"/>
        </w:rPr>
        <w:t xml:space="preserve"> con posa in opera e/o nolo a caldo e/o Nolo a Freddo</w:t>
      </w:r>
      <w:r w:rsidRPr="00AA0A22">
        <w:rPr>
          <w:rFonts w:eastAsia="Tahoma"/>
          <w:b/>
          <w:color w:val="365F91" w:themeColor="accent1" w:themeShade="BF"/>
        </w:rPr>
        <w:t>;</w:t>
      </w:r>
    </w:p>
    <w:p w14:paraId="341E44C2" w14:textId="77777777" w:rsidR="00AA0A22" w:rsidRPr="00AA0A22" w:rsidRDefault="00AA0A22" w:rsidP="00AA0A22">
      <w:pPr>
        <w:pStyle w:val="Paragrafoelenco"/>
        <w:numPr>
          <w:ilvl w:val="0"/>
          <w:numId w:val="6"/>
        </w:numPr>
        <w:tabs>
          <w:tab w:val="left" w:pos="576"/>
        </w:tabs>
        <w:spacing w:before="120"/>
        <w:jc w:val="both"/>
        <w:textAlignment w:val="baseline"/>
        <w:rPr>
          <w:rFonts w:eastAsia="Tahoma"/>
          <w:b/>
          <w:color w:val="365F91" w:themeColor="accent1" w:themeShade="BF"/>
        </w:rPr>
      </w:pPr>
      <w:r w:rsidRPr="0000311B">
        <w:rPr>
          <w:rFonts w:eastAsia="Tahoma"/>
          <w:b/>
          <w:color w:val="365F91" w:themeColor="accent1" w:themeShade="BF"/>
          <w:u w:val="single"/>
        </w:rPr>
        <w:t>Consegna e restituzione</w:t>
      </w:r>
      <w:r w:rsidRPr="00AA0A22">
        <w:rPr>
          <w:rFonts w:eastAsia="Tahoma"/>
          <w:b/>
          <w:color w:val="365F91" w:themeColor="accent1" w:themeShade="BF"/>
        </w:rPr>
        <w:t xml:space="preserve">: </w:t>
      </w:r>
      <w:r w:rsidRPr="0000311B">
        <w:rPr>
          <w:rFonts w:eastAsia="Tahoma"/>
          <w:bCs/>
          <w:color w:val="365F91" w:themeColor="accent1" w:themeShade="BF"/>
        </w:rPr>
        <w:t>le parti determinano il luogo e chi deve pagare le spese di consegna e di eventuale installazione;</w:t>
      </w:r>
    </w:p>
    <w:p w14:paraId="08408EDC" w14:textId="77777777" w:rsidR="00AA0A22" w:rsidRPr="00AA0A22" w:rsidRDefault="00AA0A22" w:rsidP="00AA0A22">
      <w:pPr>
        <w:pStyle w:val="Paragrafoelenco"/>
        <w:numPr>
          <w:ilvl w:val="0"/>
          <w:numId w:val="6"/>
        </w:numPr>
        <w:tabs>
          <w:tab w:val="left" w:pos="576"/>
        </w:tabs>
        <w:spacing w:before="120"/>
        <w:jc w:val="both"/>
        <w:textAlignment w:val="baseline"/>
        <w:rPr>
          <w:rFonts w:eastAsia="Tahoma"/>
          <w:b/>
          <w:color w:val="365F91" w:themeColor="accent1" w:themeShade="BF"/>
        </w:rPr>
      </w:pPr>
      <w:r w:rsidRPr="0000311B">
        <w:rPr>
          <w:rFonts w:eastAsia="Tahoma"/>
          <w:b/>
          <w:color w:val="365F91" w:themeColor="accent1" w:themeShade="BF"/>
          <w:u w:val="single"/>
        </w:rPr>
        <w:t>Manutenzione</w:t>
      </w:r>
      <w:r w:rsidRPr="00AA0A22">
        <w:rPr>
          <w:rFonts w:eastAsia="Tahoma"/>
          <w:b/>
          <w:color w:val="365F91" w:themeColor="accent1" w:themeShade="BF"/>
        </w:rPr>
        <w:t xml:space="preserve">: </w:t>
      </w:r>
      <w:r w:rsidRPr="0000311B">
        <w:rPr>
          <w:rFonts w:eastAsia="Tahoma"/>
          <w:bCs/>
          <w:color w:val="365F91" w:themeColor="accent1" w:themeShade="BF"/>
        </w:rPr>
        <w:t>tra i servizi accessori potrai regolare la manutenzione del bene;</w:t>
      </w:r>
    </w:p>
    <w:p w14:paraId="34C9F0D8" w14:textId="2FB5533B" w:rsidR="009C7359" w:rsidRPr="0000311B" w:rsidRDefault="00AA0A22" w:rsidP="00AA0A22">
      <w:pPr>
        <w:pStyle w:val="Paragrafoelenco"/>
        <w:numPr>
          <w:ilvl w:val="0"/>
          <w:numId w:val="6"/>
        </w:numPr>
        <w:tabs>
          <w:tab w:val="left" w:pos="576"/>
        </w:tabs>
        <w:spacing w:before="120"/>
        <w:jc w:val="both"/>
        <w:textAlignment w:val="baseline"/>
        <w:rPr>
          <w:rFonts w:eastAsia="Tahoma"/>
          <w:bCs/>
          <w:color w:val="365F91" w:themeColor="accent1" w:themeShade="BF"/>
        </w:rPr>
      </w:pPr>
      <w:r w:rsidRPr="0000311B">
        <w:rPr>
          <w:rFonts w:eastAsia="Tahoma"/>
          <w:b/>
          <w:color w:val="365F91" w:themeColor="accent1" w:themeShade="BF"/>
          <w:u w:val="single"/>
        </w:rPr>
        <w:t>Responsabilità</w:t>
      </w:r>
      <w:r w:rsidRPr="00AA0A22">
        <w:rPr>
          <w:rFonts w:eastAsia="Tahoma"/>
          <w:b/>
          <w:color w:val="365F91" w:themeColor="accent1" w:themeShade="BF"/>
        </w:rPr>
        <w:t xml:space="preserve">: </w:t>
      </w:r>
      <w:r w:rsidRPr="0000311B">
        <w:rPr>
          <w:rFonts w:eastAsia="Tahoma"/>
          <w:bCs/>
          <w:color w:val="365F91" w:themeColor="accent1" w:themeShade="BF"/>
        </w:rPr>
        <w:t>viene disciplinato chi dovrà rispondere di eventuali danni causati dal bene;</w:t>
      </w:r>
      <w:r w:rsidR="00A30293" w:rsidRPr="0000311B">
        <w:rPr>
          <w:rFonts w:eastAsia="Tahoma"/>
          <w:bCs/>
          <w:color w:val="365F91" w:themeColor="accent1" w:themeShade="BF"/>
        </w:rPr>
        <w:t xml:space="preserve"> </w:t>
      </w:r>
    </w:p>
    <w:p w14:paraId="7823E270" w14:textId="0872AE09" w:rsidR="0000311B" w:rsidRDefault="0000311B" w:rsidP="00AA0A22">
      <w:pPr>
        <w:pStyle w:val="Paragrafoelenco"/>
        <w:numPr>
          <w:ilvl w:val="0"/>
          <w:numId w:val="6"/>
        </w:numPr>
        <w:tabs>
          <w:tab w:val="left" w:pos="576"/>
        </w:tabs>
        <w:spacing w:before="120"/>
        <w:jc w:val="both"/>
        <w:textAlignment w:val="baseline"/>
        <w:rPr>
          <w:rFonts w:eastAsia="Tahoma"/>
          <w:bCs/>
          <w:color w:val="365F91" w:themeColor="accent1" w:themeShade="BF"/>
        </w:rPr>
      </w:pPr>
      <w:r w:rsidRPr="0000311B">
        <w:rPr>
          <w:rFonts w:eastAsia="Tahoma"/>
          <w:b/>
          <w:color w:val="365F91" w:themeColor="accent1" w:themeShade="BF"/>
          <w:u w:val="single"/>
        </w:rPr>
        <w:t xml:space="preserve">Assicurazione: </w:t>
      </w:r>
      <w:r w:rsidRPr="0000311B">
        <w:rPr>
          <w:rFonts w:eastAsia="Tahoma"/>
          <w:bCs/>
          <w:color w:val="365F91" w:themeColor="accent1" w:themeShade="BF"/>
        </w:rPr>
        <w:t>si può prevedere che venga stipulata un'assicurazione a copertura di tutti i danni diretti, per la responsabilità verso terzi, per incendio e furto o altro</w:t>
      </w:r>
      <w:r w:rsidR="00AA0F70">
        <w:rPr>
          <w:rFonts w:eastAsia="Tahoma"/>
          <w:bCs/>
          <w:color w:val="365F91" w:themeColor="accent1" w:themeShade="BF"/>
        </w:rPr>
        <w:t>;</w:t>
      </w:r>
    </w:p>
    <w:p w14:paraId="235E6D21" w14:textId="255E0B10" w:rsidR="00AA0F70" w:rsidRDefault="00AA0F70" w:rsidP="007C7D1B">
      <w:pPr>
        <w:pStyle w:val="Paragrafoelenco"/>
        <w:numPr>
          <w:ilvl w:val="0"/>
          <w:numId w:val="6"/>
        </w:numPr>
        <w:tabs>
          <w:tab w:val="left" w:pos="576"/>
        </w:tabs>
        <w:spacing w:before="120"/>
        <w:jc w:val="both"/>
        <w:textAlignment w:val="baseline"/>
        <w:rPr>
          <w:rFonts w:eastAsia="Tahoma"/>
          <w:bCs/>
          <w:color w:val="365F91" w:themeColor="accent1" w:themeShade="BF"/>
        </w:rPr>
      </w:pPr>
      <w:r w:rsidRPr="00EB1FF3">
        <w:rPr>
          <w:rFonts w:eastAsia="Tahoma"/>
          <w:b/>
          <w:color w:val="365F91" w:themeColor="accent1" w:themeShade="BF"/>
          <w:u w:val="single"/>
        </w:rPr>
        <w:t>Costo della manodopera:</w:t>
      </w:r>
      <w:r w:rsidRPr="00EB1FF3">
        <w:rPr>
          <w:rFonts w:eastAsia="Tahoma"/>
          <w:bCs/>
          <w:color w:val="365F91" w:themeColor="accent1" w:themeShade="BF"/>
        </w:rPr>
        <w:t xml:space="preserve"> </w:t>
      </w:r>
      <w:r w:rsidR="00386150" w:rsidRPr="00EB1FF3">
        <w:rPr>
          <w:rFonts w:eastAsia="Tahoma"/>
          <w:bCs/>
          <w:i/>
          <w:iCs/>
          <w:color w:val="FF0000"/>
        </w:rPr>
        <w:t xml:space="preserve">L'appaltatore, ai sensi dell’art. 119, comma 12 del </w:t>
      </w:r>
      <w:proofErr w:type="spellStart"/>
      <w:r w:rsidR="00386150" w:rsidRPr="00EB1FF3">
        <w:rPr>
          <w:rFonts w:eastAsia="Tahoma"/>
          <w:bCs/>
          <w:i/>
          <w:iCs/>
          <w:color w:val="FF0000"/>
        </w:rPr>
        <w:t>D.Lgs.</w:t>
      </w:r>
      <w:proofErr w:type="spellEnd"/>
      <w:r w:rsidR="00386150" w:rsidRPr="00EB1FF3">
        <w:rPr>
          <w:rFonts w:eastAsia="Tahoma"/>
          <w:bCs/>
          <w:i/>
          <w:iCs/>
          <w:color w:val="FF0000"/>
        </w:rPr>
        <w:t xml:space="preserve"> 36/2023, corrisponde i costi della sicurezza e della manodopera, relativi alle prestazioni affidate in </w:t>
      </w:r>
      <w:r w:rsidR="00386150" w:rsidRPr="00EB1FF3">
        <w:rPr>
          <w:rFonts w:eastAsia="Tahoma"/>
          <w:bCs/>
          <w:i/>
          <w:iCs/>
          <w:color w:val="FF0000"/>
        </w:rPr>
        <w:t>subaffidamento</w:t>
      </w:r>
      <w:r w:rsidR="00386150" w:rsidRPr="00EB1FF3">
        <w:rPr>
          <w:rFonts w:eastAsia="Tahoma"/>
          <w:bCs/>
          <w:i/>
          <w:iCs/>
          <w:color w:val="FF0000"/>
        </w:rPr>
        <w:t xml:space="preserve">, alle imprese </w:t>
      </w:r>
      <w:r w:rsidR="00EB1FF3" w:rsidRPr="00EB1FF3">
        <w:rPr>
          <w:rFonts w:eastAsia="Tahoma"/>
          <w:bCs/>
          <w:i/>
          <w:iCs/>
          <w:color w:val="FF0000"/>
        </w:rPr>
        <w:t>sub affidatarie</w:t>
      </w:r>
      <w:r w:rsidR="00386150" w:rsidRPr="00EB1FF3">
        <w:rPr>
          <w:rFonts w:eastAsia="Tahoma"/>
          <w:bCs/>
          <w:i/>
          <w:iCs/>
          <w:color w:val="FF0000"/>
        </w:rPr>
        <w:t xml:space="preserve"> senza alcun ribasso</w:t>
      </w:r>
      <w:r w:rsidR="00EB1FF3" w:rsidRPr="00EB1FF3">
        <w:rPr>
          <w:rFonts w:eastAsia="Tahoma"/>
          <w:bCs/>
          <w:i/>
          <w:iCs/>
          <w:color w:val="FF0000"/>
        </w:rPr>
        <w:t xml:space="preserve">. </w:t>
      </w:r>
      <w:r w:rsidR="00386150" w:rsidRPr="00EB1FF3">
        <w:rPr>
          <w:rFonts w:eastAsia="Tahoma"/>
          <w:bCs/>
          <w:color w:val="365F91" w:themeColor="accent1" w:themeShade="BF"/>
        </w:rPr>
        <w:t>L’importo della fattura sarà quello dello Stato di avanzamento al netto delle trattenute di garanzia.</w:t>
      </w:r>
    </w:p>
    <w:p w14:paraId="75752FCA" w14:textId="4109A206" w:rsidR="00CF4D97" w:rsidRPr="00B5266F" w:rsidRDefault="00CF4D97" w:rsidP="007C7D1B">
      <w:pPr>
        <w:pStyle w:val="Paragrafoelenco"/>
        <w:numPr>
          <w:ilvl w:val="0"/>
          <w:numId w:val="6"/>
        </w:numPr>
        <w:tabs>
          <w:tab w:val="left" w:pos="576"/>
        </w:tabs>
        <w:spacing w:before="120"/>
        <w:jc w:val="both"/>
        <w:textAlignment w:val="baseline"/>
        <w:rPr>
          <w:rFonts w:eastAsia="Tahoma"/>
          <w:bCs/>
          <w:color w:val="365F91" w:themeColor="accent1" w:themeShade="BF"/>
        </w:rPr>
      </w:pPr>
      <w:r w:rsidRPr="00CF4D97">
        <w:rPr>
          <w:rFonts w:eastAsia="Tahoma"/>
          <w:b/>
          <w:color w:val="365F91" w:themeColor="accent1" w:themeShade="BF"/>
          <w:u w:val="single"/>
        </w:rPr>
        <w:t>Dichiarazione</w:t>
      </w:r>
      <w:r>
        <w:t xml:space="preserve">: </w:t>
      </w:r>
      <w:r w:rsidRPr="00B5266F">
        <w:rPr>
          <w:color w:val="365F91" w:themeColor="accent1" w:themeShade="BF"/>
        </w:rPr>
        <w:t xml:space="preserve">di aver verificato che l’impresa </w:t>
      </w:r>
      <w:proofErr w:type="spellStart"/>
      <w:r w:rsidR="00140C60" w:rsidRPr="00B5266F">
        <w:rPr>
          <w:color w:val="365F91" w:themeColor="accent1" w:themeShade="BF"/>
        </w:rPr>
        <w:t>subaffidataria</w:t>
      </w:r>
      <w:proofErr w:type="spellEnd"/>
      <w:r w:rsidRPr="00B5266F">
        <w:rPr>
          <w:color w:val="365F91" w:themeColor="accent1" w:themeShade="BF"/>
        </w:rPr>
        <w:t xml:space="preserve"> possiede i requisiti di ordine tecnico-organizzativo richiesti (art. 97, comma 2, D.lgs. 81/2008 e </w:t>
      </w:r>
      <w:proofErr w:type="spellStart"/>
      <w:r w:rsidRPr="00B5266F">
        <w:rPr>
          <w:color w:val="365F91" w:themeColor="accent1" w:themeShade="BF"/>
        </w:rPr>
        <w:t>s.m.i</w:t>
      </w:r>
      <w:proofErr w:type="spellEnd"/>
      <w:r w:rsidRPr="00B5266F">
        <w:rPr>
          <w:color w:val="365F91" w:themeColor="accent1" w:themeShade="BF"/>
        </w:rPr>
        <w:t xml:space="preserve">); </w:t>
      </w:r>
      <w:r w:rsidR="003E10AD" w:rsidRPr="00B5266F">
        <w:rPr>
          <w:color w:val="365F91" w:themeColor="accent1" w:themeShade="BF"/>
        </w:rPr>
        <w:t xml:space="preserve">ed altresì </w:t>
      </w:r>
      <w:r w:rsidRPr="00B5266F">
        <w:rPr>
          <w:color w:val="365F91" w:themeColor="accent1" w:themeShade="BF"/>
        </w:rPr>
        <w:t>di aver verificato che i Piani Operativi di Sicurezza (POS) dell’impresa esecutrice sono congruenti con il proprio</w:t>
      </w:r>
      <w:r w:rsidR="003E10AD" w:rsidRPr="00B5266F">
        <w:rPr>
          <w:color w:val="365F91" w:themeColor="accent1" w:themeShade="BF"/>
        </w:rPr>
        <w:t xml:space="preserve"> ed </w:t>
      </w:r>
      <w:proofErr w:type="spellStart"/>
      <w:r w:rsidR="003E10AD" w:rsidRPr="00B5266F">
        <w:rPr>
          <w:color w:val="365F91" w:themeColor="accent1" w:themeShade="BF"/>
        </w:rPr>
        <w:t>ifine</w:t>
      </w:r>
      <w:proofErr w:type="spellEnd"/>
      <w:r w:rsidR="003E10AD" w:rsidRPr="00B5266F">
        <w:rPr>
          <w:color w:val="365F91" w:themeColor="accent1" w:themeShade="BF"/>
        </w:rPr>
        <w:t xml:space="preserve"> di</w:t>
      </w:r>
      <w:r w:rsidRPr="00B5266F">
        <w:rPr>
          <w:color w:val="365F91" w:themeColor="accent1" w:themeShade="BF"/>
        </w:rPr>
        <w:t xml:space="preserve">di essere a conoscenza che l’ingresso in cantiere dell’impresa esecutrice potrà avvenire solo dopo l’accettazione del </w:t>
      </w:r>
      <w:r w:rsidR="00140C60" w:rsidRPr="00B5266F">
        <w:rPr>
          <w:color w:val="365F91" w:themeColor="accent1" w:themeShade="BF"/>
        </w:rPr>
        <w:t>POS</w:t>
      </w:r>
      <w:r w:rsidRPr="00B5266F">
        <w:rPr>
          <w:color w:val="365F91" w:themeColor="accent1" w:themeShade="BF"/>
        </w:rPr>
        <w:t xml:space="preserve"> da parte del CSE .</w:t>
      </w:r>
    </w:p>
    <w:p w14:paraId="1734DB31" w14:textId="77777777" w:rsidR="005B132B" w:rsidRPr="00B5266F" w:rsidRDefault="005B132B" w:rsidP="00B5266F">
      <w:pPr>
        <w:tabs>
          <w:tab w:val="left" w:pos="576"/>
        </w:tabs>
        <w:spacing w:before="120"/>
        <w:jc w:val="both"/>
        <w:textAlignment w:val="baseline"/>
        <w:rPr>
          <w:rFonts w:eastAsia="Tahoma"/>
          <w:bCs/>
          <w:color w:val="365F91" w:themeColor="accent1" w:themeShade="BF"/>
        </w:rPr>
      </w:pPr>
    </w:p>
    <w:p w14:paraId="0FF7AEFF" w14:textId="4D96FF38" w:rsidR="00A30293" w:rsidRPr="009C7359" w:rsidRDefault="00A30293" w:rsidP="00AA0A22">
      <w:pPr>
        <w:tabs>
          <w:tab w:val="left" w:pos="576"/>
        </w:tabs>
        <w:spacing w:before="120"/>
        <w:jc w:val="both"/>
        <w:textAlignment w:val="baseline"/>
        <w:rPr>
          <w:rFonts w:eastAsia="Bookman Old Style"/>
          <w:color w:val="000000"/>
          <w:u w:val="single"/>
        </w:rPr>
      </w:pPr>
      <w:r w:rsidRPr="009C7359">
        <w:rPr>
          <w:rFonts w:eastAsia="Tahoma"/>
          <w:b/>
          <w:color w:val="000000"/>
          <w:u w:val="single"/>
        </w:rPr>
        <w:t>In capo al subcontraente;</w:t>
      </w:r>
    </w:p>
    <w:p w14:paraId="2C013133" w14:textId="77777777" w:rsidR="00A30293" w:rsidRPr="00AB2694" w:rsidRDefault="00A30293" w:rsidP="00AA0A22">
      <w:pPr>
        <w:widowControl/>
        <w:numPr>
          <w:ilvl w:val="0"/>
          <w:numId w:val="5"/>
        </w:numPr>
        <w:tabs>
          <w:tab w:val="left" w:pos="576"/>
          <w:tab w:val="left" w:pos="648"/>
        </w:tabs>
        <w:autoSpaceDE/>
        <w:autoSpaceDN/>
        <w:spacing w:before="120"/>
        <w:jc w:val="both"/>
        <w:textAlignment w:val="baseline"/>
        <w:rPr>
          <w:rFonts w:eastAsia="Tahoma"/>
          <w:b/>
          <w:color w:val="000000"/>
          <w:spacing w:val="11"/>
        </w:rPr>
      </w:pPr>
      <w:r w:rsidRPr="00AB2694">
        <w:rPr>
          <w:rFonts w:eastAsia="Tahoma"/>
          <w:b/>
          <w:color w:val="000000"/>
          <w:spacing w:val="11"/>
        </w:rPr>
        <w:t>Certificato camerale/visura camerale in corso di validità del sub-affidatario;</w:t>
      </w:r>
    </w:p>
    <w:p w14:paraId="44C92CB9" w14:textId="56EF24E5" w:rsidR="00A30293" w:rsidRPr="009C7359" w:rsidRDefault="00A30293" w:rsidP="00AA0A22">
      <w:pPr>
        <w:widowControl/>
        <w:numPr>
          <w:ilvl w:val="0"/>
          <w:numId w:val="5"/>
        </w:numPr>
        <w:tabs>
          <w:tab w:val="left" w:pos="576"/>
          <w:tab w:val="left" w:pos="648"/>
        </w:tabs>
        <w:autoSpaceDE/>
        <w:autoSpaceDN/>
        <w:spacing w:before="120"/>
        <w:jc w:val="both"/>
        <w:textAlignment w:val="baseline"/>
        <w:rPr>
          <w:rFonts w:eastAsia="Tahoma"/>
          <w:b/>
          <w:color w:val="000000"/>
          <w:spacing w:val="11"/>
        </w:rPr>
      </w:pPr>
      <w:r w:rsidRPr="009C7359">
        <w:rPr>
          <w:rFonts w:eastAsia="Tahoma"/>
          <w:b/>
          <w:color w:val="000000"/>
          <w:spacing w:val="11"/>
        </w:rPr>
        <w:t>Dichiarazione circa l'assunzione degli obblighi di tracciabilità dei flussi finanziari di cui all'art. 3 della L. 13 agosto 2010 n. 136; (Vedi Modello 2)</w:t>
      </w:r>
    </w:p>
    <w:p w14:paraId="74C57BB6" w14:textId="7D501534" w:rsidR="00A30293" w:rsidRDefault="00A30293" w:rsidP="00AA0A22">
      <w:pPr>
        <w:widowControl/>
        <w:numPr>
          <w:ilvl w:val="0"/>
          <w:numId w:val="5"/>
        </w:numPr>
        <w:tabs>
          <w:tab w:val="left" w:pos="576"/>
          <w:tab w:val="left" w:pos="648"/>
        </w:tabs>
        <w:autoSpaceDE/>
        <w:autoSpaceDN/>
        <w:spacing w:before="120"/>
        <w:jc w:val="both"/>
        <w:textAlignment w:val="baseline"/>
        <w:rPr>
          <w:rFonts w:eastAsia="Tahoma"/>
          <w:b/>
          <w:color w:val="000000"/>
          <w:spacing w:val="11"/>
        </w:rPr>
      </w:pPr>
      <w:r w:rsidRPr="009C7359">
        <w:rPr>
          <w:rFonts w:eastAsia="Tahoma"/>
          <w:b/>
          <w:color w:val="000000"/>
          <w:spacing w:val="11"/>
        </w:rPr>
        <w:t>DURC in corso di validità del sub-affidatario;</w:t>
      </w:r>
    </w:p>
    <w:p w14:paraId="610DC8CB" w14:textId="77777777" w:rsidR="00AA0F70" w:rsidRDefault="00AA0F70" w:rsidP="00AA0A22">
      <w:pPr>
        <w:widowControl/>
        <w:tabs>
          <w:tab w:val="left" w:pos="576"/>
          <w:tab w:val="left" w:pos="648"/>
        </w:tabs>
        <w:autoSpaceDE/>
        <w:autoSpaceDN/>
        <w:spacing w:before="120"/>
        <w:ind w:left="360"/>
        <w:jc w:val="both"/>
        <w:textAlignment w:val="baseline"/>
        <w:rPr>
          <w:rFonts w:eastAsia="Tahoma"/>
          <w:b/>
          <w:color w:val="365F91" w:themeColor="accent1" w:themeShade="BF"/>
          <w:spacing w:val="11"/>
          <w:sz w:val="28"/>
          <w:szCs w:val="28"/>
          <w:u w:val="single"/>
        </w:rPr>
      </w:pPr>
    </w:p>
    <w:p w14:paraId="54A609F0" w14:textId="547B5E99" w:rsidR="007B5DEE" w:rsidRPr="00C90924" w:rsidRDefault="007B5DEE" w:rsidP="00EB1FF3">
      <w:pPr>
        <w:tabs>
          <w:tab w:val="left" w:pos="576"/>
        </w:tabs>
        <w:spacing w:before="120"/>
        <w:jc w:val="both"/>
        <w:textAlignment w:val="baseline"/>
        <w:rPr>
          <w:rFonts w:eastAsia="Bookman Old Style"/>
          <w:i/>
          <w:iCs/>
          <w:color w:val="FF0000"/>
          <w:spacing w:val="1"/>
          <w:sz w:val="20"/>
          <w:szCs w:val="20"/>
        </w:rPr>
      </w:pPr>
      <w:r w:rsidRPr="00EB1FF3">
        <w:rPr>
          <w:rFonts w:eastAsia="Bookman Old Style"/>
          <w:b/>
          <w:bCs/>
          <w:color w:val="FF0000"/>
          <w:spacing w:val="1"/>
          <w:u w:val="single"/>
        </w:rPr>
        <w:t xml:space="preserve">NB = </w:t>
      </w:r>
      <w:r w:rsidR="00342409" w:rsidRPr="00EB1FF3">
        <w:rPr>
          <w:rFonts w:eastAsia="Bookman Old Style"/>
          <w:b/>
          <w:bCs/>
          <w:color w:val="FF0000"/>
          <w:spacing w:val="1"/>
          <w:u w:val="single"/>
        </w:rPr>
        <w:t xml:space="preserve">(in condizioni di Nolo a calo </w:t>
      </w:r>
      <w:r w:rsidR="00AA0F70" w:rsidRPr="00EB1FF3">
        <w:rPr>
          <w:rFonts w:eastAsia="Bookman Old Style"/>
          <w:b/>
          <w:bCs/>
          <w:color w:val="FF0000"/>
          <w:spacing w:val="1"/>
          <w:u w:val="single"/>
        </w:rPr>
        <w:t>e/</w:t>
      </w:r>
      <w:r w:rsidR="00342409" w:rsidRPr="00EB1FF3">
        <w:rPr>
          <w:rFonts w:eastAsia="Bookman Old Style"/>
          <w:b/>
          <w:bCs/>
          <w:color w:val="FF0000"/>
          <w:spacing w:val="1"/>
          <w:u w:val="single"/>
        </w:rPr>
        <w:t>o Nolo freddo)</w:t>
      </w:r>
      <w:r w:rsidR="003642EB">
        <w:rPr>
          <w:rStyle w:val="Rimandonotaapidipagina"/>
          <w:rFonts w:eastAsia="Bookman Old Style"/>
          <w:b/>
          <w:bCs/>
          <w:color w:val="FF0000"/>
          <w:spacing w:val="1"/>
          <w:u w:val="single"/>
        </w:rPr>
        <w:footnoteReference w:id="2"/>
      </w:r>
      <w:r w:rsidR="0026322F" w:rsidRPr="00EB1FF3">
        <w:rPr>
          <w:rFonts w:eastAsia="Bookman Old Style"/>
          <w:bCs/>
          <w:color w:val="FF0000"/>
          <w:spacing w:val="1"/>
        </w:rPr>
        <w:footnoteReference w:id="3"/>
      </w:r>
      <w:r w:rsidR="00C90924">
        <w:rPr>
          <w:rFonts w:eastAsia="Bookman Old Style"/>
          <w:b/>
          <w:bCs/>
          <w:color w:val="FF0000"/>
          <w:spacing w:val="1"/>
          <w:u w:val="single"/>
        </w:rPr>
        <w:t xml:space="preserve"> – NB = </w:t>
      </w:r>
      <w:r w:rsidR="00C90924" w:rsidRPr="00C90924">
        <w:rPr>
          <w:rFonts w:eastAsia="Bookman Old Style"/>
          <w:i/>
          <w:iCs/>
          <w:color w:val="FF0000"/>
          <w:spacing w:val="1"/>
          <w:sz w:val="20"/>
          <w:szCs w:val="20"/>
        </w:rPr>
        <w:t xml:space="preserve">Le attività </w:t>
      </w:r>
      <w:r w:rsidR="00C90924">
        <w:rPr>
          <w:rFonts w:eastAsia="Bookman Old Style"/>
          <w:i/>
          <w:iCs/>
          <w:color w:val="FF0000"/>
          <w:spacing w:val="1"/>
          <w:sz w:val="20"/>
          <w:szCs w:val="20"/>
        </w:rPr>
        <w:t xml:space="preserve">dei noli sono </w:t>
      </w:r>
      <w:r w:rsidR="00C90924" w:rsidRPr="00C90924">
        <w:rPr>
          <w:rFonts w:eastAsia="Bookman Old Style"/>
          <w:i/>
          <w:iCs/>
          <w:color w:val="FF0000"/>
          <w:spacing w:val="1"/>
          <w:sz w:val="20"/>
          <w:szCs w:val="20"/>
        </w:rPr>
        <w:t xml:space="preserve">definite come maggiormente esposte al rischio di infiltrazioni mafiose (a prescindere che siano esercitate in maniera primaria/prevalente o </w:t>
      </w:r>
      <w:r w:rsidR="00C90924" w:rsidRPr="00C90924">
        <w:rPr>
          <w:rFonts w:eastAsia="Bookman Old Style"/>
          <w:i/>
          <w:iCs/>
          <w:color w:val="FF0000"/>
          <w:spacing w:val="1"/>
          <w:sz w:val="20"/>
          <w:szCs w:val="20"/>
        </w:rPr>
        <w:lastRenderedPageBreak/>
        <w:t xml:space="preserve">secondaria) per cui è </w:t>
      </w:r>
      <w:r w:rsidR="00C90924">
        <w:rPr>
          <w:rFonts w:eastAsia="Bookman Old Style"/>
          <w:i/>
          <w:iCs/>
          <w:color w:val="FF0000"/>
          <w:spacing w:val="1"/>
          <w:sz w:val="20"/>
          <w:szCs w:val="20"/>
        </w:rPr>
        <w:t>necessaria</w:t>
      </w:r>
      <w:r w:rsidR="00C90924" w:rsidRPr="00C90924">
        <w:rPr>
          <w:rFonts w:eastAsia="Bookman Old Style"/>
          <w:i/>
          <w:iCs/>
          <w:color w:val="FF0000"/>
          <w:spacing w:val="1"/>
          <w:sz w:val="20"/>
          <w:szCs w:val="20"/>
        </w:rPr>
        <w:t xml:space="preserve"> l’iscrizione nell’elenco White list sono riportate all’art.1, comma 53 della Legge 190/2012</w:t>
      </w:r>
    </w:p>
    <w:p w14:paraId="26367A2C" w14:textId="00E86776" w:rsidR="00342409" w:rsidRDefault="00342409" w:rsidP="00AA0A22">
      <w:pPr>
        <w:widowControl/>
        <w:numPr>
          <w:ilvl w:val="0"/>
          <w:numId w:val="5"/>
        </w:numPr>
        <w:tabs>
          <w:tab w:val="left" w:pos="576"/>
          <w:tab w:val="left" w:pos="648"/>
        </w:tabs>
        <w:autoSpaceDE/>
        <w:autoSpaceDN/>
        <w:spacing w:before="120"/>
        <w:jc w:val="both"/>
        <w:textAlignment w:val="baseline"/>
        <w:rPr>
          <w:rFonts w:eastAsia="Tahoma"/>
          <w:b/>
          <w:color w:val="365F91" w:themeColor="accent1" w:themeShade="BF"/>
          <w:spacing w:val="11"/>
        </w:rPr>
      </w:pPr>
      <w:r w:rsidRPr="007B5DEE">
        <w:rPr>
          <w:rFonts w:eastAsia="Tahoma"/>
          <w:b/>
          <w:color w:val="365F91" w:themeColor="accent1" w:themeShade="BF"/>
          <w:spacing w:val="11"/>
        </w:rPr>
        <w:t>Copia iscrizione White List</w:t>
      </w:r>
      <w:r w:rsidR="007B5DEE">
        <w:rPr>
          <w:rFonts w:eastAsia="Tahoma"/>
          <w:b/>
          <w:color w:val="365F91" w:themeColor="accent1" w:themeShade="BF"/>
          <w:spacing w:val="11"/>
        </w:rPr>
        <w:t xml:space="preserve"> </w:t>
      </w:r>
      <w:r w:rsidR="007B5DEE" w:rsidRPr="007B5DEE">
        <w:rPr>
          <w:rFonts w:eastAsia="Tahoma"/>
          <w:b/>
          <w:i/>
          <w:iCs/>
          <w:color w:val="365F91" w:themeColor="accent1" w:themeShade="BF"/>
          <w:spacing w:val="11"/>
        </w:rPr>
        <w:t>(in quanto attività rientranti nelle categorie di cui all’art. 53 della legge 190/2012)</w:t>
      </w:r>
      <w:r w:rsidR="007B5DEE">
        <w:rPr>
          <w:rFonts w:eastAsia="Tahoma"/>
          <w:b/>
          <w:color w:val="365F91" w:themeColor="accent1" w:themeShade="BF"/>
          <w:spacing w:val="11"/>
        </w:rPr>
        <w:t>;</w:t>
      </w:r>
    </w:p>
    <w:p w14:paraId="205B6811" w14:textId="676C5B1A" w:rsidR="00AA0F70" w:rsidRPr="00EB1FF3" w:rsidRDefault="00AA0F70" w:rsidP="00EB1FF3">
      <w:pPr>
        <w:tabs>
          <w:tab w:val="left" w:pos="576"/>
        </w:tabs>
        <w:spacing w:before="120"/>
        <w:jc w:val="both"/>
        <w:textAlignment w:val="baseline"/>
        <w:rPr>
          <w:rFonts w:eastAsia="Bookman Old Style"/>
          <w:b/>
          <w:bCs/>
          <w:color w:val="FF0000"/>
          <w:spacing w:val="1"/>
          <w:u w:val="single"/>
        </w:rPr>
      </w:pPr>
      <w:r w:rsidRPr="00EB1FF3">
        <w:rPr>
          <w:rFonts w:eastAsia="Bookman Old Style"/>
          <w:b/>
          <w:bCs/>
          <w:color w:val="FF0000"/>
          <w:spacing w:val="1"/>
          <w:u w:val="single"/>
        </w:rPr>
        <w:t>NB = (in condizioni di Nolo a freddo)</w:t>
      </w:r>
    </w:p>
    <w:p w14:paraId="5B026E45" w14:textId="42EFE6B6" w:rsidR="007B5DEE" w:rsidRPr="007B5DEE" w:rsidRDefault="007B5DEE" w:rsidP="00AA0A22">
      <w:pPr>
        <w:widowControl/>
        <w:numPr>
          <w:ilvl w:val="0"/>
          <w:numId w:val="5"/>
        </w:numPr>
        <w:tabs>
          <w:tab w:val="left" w:pos="576"/>
          <w:tab w:val="left" w:pos="648"/>
        </w:tabs>
        <w:autoSpaceDE/>
        <w:autoSpaceDN/>
        <w:spacing w:before="120"/>
        <w:jc w:val="both"/>
        <w:textAlignment w:val="baseline"/>
        <w:rPr>
          <w:rFonts w:eastAsia="Tahoma"/>
          <w:b/>
          <w:color w:val="365F91" w:themeColor="accent1" w:themeShade="BF"/>
          <w:spacing w:val="11"/>
        </w:rPr>
      </w:pPr>
      <w:r>
        <w:rPr>
          <w:rFonts w:eastAsia="Tahoma"/>
          <w:b/>
          <w:color w:val="365F91" w:themeColor="accent1" w:themeShade="BF"/>
          <w:spacing w:val="11"/>
        </w:rPr>
        <w:t xml:space="preserve">Dichiarazione </w:t>
      </w:r>
      <w:proofErr w:type="spellStart"/>
      <w:r>
        <w:rPr>
          <w:rFonts w:eastAsia="Tahoma"/>
          <w:b/>
          <w:color w:val="365F91" w:themeColor="accent1" w:themeShade="BF"/>
          <w:spacing w:val="11"/>
        </w:rPr>
        <w:t>autocertificativa</w:t>
      </w:r>
      <w:proofErr w:type="spellEnd"/>
      <w:r>
        <w:rPr>
          <w:rFonts w:eastAsia="Tahoma"/>
          <w:b/>
          <w:color w:val="365F91" w:themeColor="accent1" w:themeShade="BF"/>
          <w:spacing w:val="11"/>
        </w:rPr>
        <w:t xml:space="preserve"> del soggetto che prende a noleggi</w:t>
      </w:r>
      <w:r w:rsidR="00AA0F70">
        <w:rPr>
          <w:rFonts w:eastAsia="Tahoma"/>
          <w:b/>
          <w:color w:val="365F91" w:themeColor="accent1" w:themeShade="BF"/>
          <w:spacing w:val="11"/>
        </w:rPr>
        <w:t>o</w:t>
      </w:r>
      <w:r>
        <w:rPr>
          <w:rFonts w:eastAsia="Tahoma"/>
          <w:b/>
          <w:color w:val="365F91" w:themeColor="accent1" w:themeShade="BF"/>
          <w:spacing w:val="11"/>
        </w:rPr>
        <w:t xml:space="preserve">, o in concessione in uso, o del datore di lavoro, che attesti l’avvenuta formazione ed addestramento specifico, effettuato conformemente alle disposizioni del </w:t>
      </w:r>
      <w:proofErr w:type="spellStart"/>
      <w:r>
        <w:rPr>
          <w:rFonts w:eastAsia="Tahoma"/>
          <w:b/>
          <w:color w:val="365F91" w:themeColor="accent1" w:themeShade="BF"/>
          <w:spacing w:val="11"/>
        </w:rPr>
        <w:t>D.lgs</w:t>
      </w:r>
      <w:proofErr w:type="spellEnd"/>
      <w:r>
        <w:rPr>
          <w:rFonts w:eastAsia="Tahoma"/>
          <w:b/>
          <w:color w:val="365F91" w:themeColor="accent1" w:themeShade="BF"/>
          <w:spacing w:val="11"/>
        </w:rPr>
        <w:t xml:space="preserve"> 81/2008 (come modificato dal D.L. n. 48 del 4/05/2023); </w:t>
      </w:r>
    </w:p>
    <w:p w14:paraId="136884F9" w14:textId="77777777" w:rsidR="00C90924" w:rsidRDefault="00C90924" w:rsidP="00AA0A22">
      <w:pPr>
        <w:tabs>
          <w:tab w:val="left" w:pos="576"/>
        </w:tabs>
        <w:spacing w:before="120"/>
        <w:jc w:val="both"/>
        <w:textAlignment w:val="baseline"/>
        <w:rPr>
          <w:rFonts w:eastAsia="Bookman Old Style"/>
          <w:b/>
          <w:bCs/>
          <w:color w:val="FF0000"/>
          <w:spacing w:val="1"/>
          <w:u w:val="single"/>
        </w:rPr>
      </w:pPr>
    </w:p>
    <w:p w14:paraId="482380ED" w14:textId="56F51662" w:rsidR="009C7359" w:rsidRPr="00AA0F70" w:rsidRDefault="007B5DEE" w:rsidP="00AA0A22">
      <w:pPr>
        <w:tabs>
          <w:tab w:val="left" w:pos="576"/>
        </w:tabs>
        <w:spacing w:before="120"/>
        <w:jc w:val="both"/>
        <w:textAlignment w:val="baseline"/>
        <w:rPr>
          <w:rFonts w:eastAsia="Bookman Old Style"/>
          <w:b/>
          <w:bCs/>
          <w:color w:val="FF0000"/>
          <w:spacing w:val="1"/>
          <w:u w:val="single"/>
        </w:rPr>
      </w:pPr>
      <w:r w:rsidRPr="00AA0F70">
        <w:rPr>
          <w:rFonts w:eastAsia="Bookman Old Style"/>
          <w:b/>
          <w:bCs/>
          <w:color w:val="FF0000"/>
          <w:spacing w:val="1"/>
          <w:u w:val="single"/>
        </w:rPr>
        <w:t>Dichiarazione</w:t>
      </w:r>
      <w:r w:rsidR="00AA0F70" w:rsidRPr="00AA0F70">
        <w:rPr>
          <w:rFonts w:eastAsia="Bookman Old Style"/>
          <w:b/>
          <w:bCs/>
          <w:color w:val="FF0000"/>
          <w:spacing w:val="1"/>
          <w:u w:val="single"/>
        </w:rPr>
        <w:t xml:space="preserve"> da allegare</w:t>
      </w:r>
      <w:r w:rsidRPr="00AA0F70">
        <w:rPr>
          <w:rFonts w:eastAsia="Bookman Old Style"/>
          <w:b/>
          <w:bCs/>
          <w:color w:val="FF0000"/>
          <w:spacing w:val="1"/>
          <w:u w:val="single"/>
        </w:rPr>
        <w:t xml:space="preserve"> </w:t>
      </w:r>
    </w:p>
    <w:p w14:paraId="5727F265" w14:textId="77777777" w:rsidR="00A30293" w:rsidRPr="00AB2694" w:rsidRDefault="00A30293" w:rsidP="00AA0A22">
      <w:pPr>
        <w:tabs>
          <w:tab w:val="left" w:pos="576"/>
        </w:tabs>
        <w:spacing w:before="120"/>
        <w:ind w:left="648" w:hanging="648"/>
        <w:jc w:val="both"/>
        <w:textAlignment w:val="baseline"/>
        <w:rPr>
          <w:rFonts w:eastAsia="Bookman Old Style"/>
          <w:color w:val="000000"/>
        </w:rPr>
      </w:pPr>
      <w:r w:rsidRPr="00AB2694">
        <w:rPr>
          <w:rFonts w:eastAsia="Bookman Old Style"/>
          <w:color w:val="000000"/>
        </w:rPr>
        <w:t>•</w:t>
      </w:r>
      <w:r w:rsidRPr="00AB2694">
        <w:rPr>
          <w:rFonts w:eastAsia="Bookman Old Style"/>
          <w:color w:val="000000"/>
        </w:rPr>
        <w:tab/>
      </w:r>
      <w:r w:rsidRPr="00AB2694">
        <w:rPr>
          <w:rFonts w:eastAsia="Tahoma"/>
          <w:b/>
          <w:color w:val="000000"/>
        </w:rPr>
        <w:t>Dichiarazione di accettazione incondizionata delle prescrizioni contenute nel Codice Etico e di impegno a rispettarle. Tale dichiarazione è sottoscritta per accettazione dal titolare o dal legale rappresentante dell'impresa. (vedi Modello 3)</w:t>
      </w:r>
    </w:p>
    <w:p w14:paraId="328B0181" w14:textId="77777777" w:rsidR="00A30293" w:rsidRPr="00AB2694" w:rsidRDefault="00A30293" w:rsidP="00AA0A22">
      <w:pPr>
        <w:tabs>
          <w:tab w:val="left" w:pos="576"/>
        </w:tabs>
        <w:spacing w:before="120"/>
        <w:jc w:val="both"/>
        <w:textAlignment w:val="baseline"/>
        <w:rPr>
          <w:rFonts w:eastAsia="Bookman Old Style"/>
          <w:color w:val="000000"/>
          <w:spacing w:val="8"/>
        </w:rPr>
      </w:pPr>
      <w:r w:rsidRPr="00AB2694">
        <w:rPr>
          <w:rFonts w:eastAsia="Bookman Old Style"/>
          <w:color w:val="000000"/>
          <w:spacing w:val="8"/>
        </w:rPr>
        <w:t>•</w:t>
      </w:r>
      <w:r w:rsidRPr="00AB2694">
        <w:rPr>
          <w:rFonts w:eastAsia="Bookman Old Style"/>
          <w:color w:val="000000"/>
          <w:spacing w:val="8"/>
        </w:rPr>
        <w:tab/>
      </w:r>
      <w:r w:rsidRPr="00AB2694">
        <w:rPr>
          <w:rFonts w:eastAsia="Tahoma"/>
          <w:b/>
          <w:color w:val="000000"/>
          <w:spacing w:val="8"/>
        </w:rPr>
        <w:t>Documentazione per Verifica di Idoneità Tecnico Professionale:</w:t>
      </w:r>
    </w:p>
    <w:p w14:paraId="19C59286" w14:textId="77777777" w:rsidR="00A30293" w:rsidRPr="00AB2694" w:rsidRDefault="00A30293" w:rsidP="00AA0A22">
      <w:pPr>
        <w:widowControl/>
        <w:numPr>
          <w:ilvl w:val="0"/>
          <w:numId w:val="4"/>
        </w:numPr>
        <w:tabs>
          <w:tab w:val="clear" w:pos="144"/>
          <w:tab w:val="left" w:pos="792"/>
        </w:tabs>
        <w:autoSpaceDE/>
        <w:autoSpaceDN/>
        <w:spacing w:before="120"/>
        <w:ind w:left="648"/>
        <w:jc w:val="both"/>
        <w:textAlignment w:val="baseline"/>
        <w:rPr>
          <w:rFonts w:eastAsia="Tahoma"/>
          <w:b/>
          <w:color w:val="000000"/>
          <w:spacing w:val="11"/>
        </w:rPr>
      </w:pPr>
      <w:r w:rsidRPr="00AB2694">
        <w:rPr>
          <w:rFonts w:eastAsia="Tahoma"/>
          <w:b/>
          <w:color w:val="000000"/>
          <w:spacing w:val="11"/>
        </w:rPr>
        <w:t>Documento Unico di Regolarità Contributiva (DURC) in corso di validità;</w:t>
      </w:r>
    </w:p>
    <w:p w14:paraId="4B92DE4B" w14:textId="77777777" w:rsidR="00A30293" w:rsidRPr="00AB2694" w:rsidRDefault="00A30293" w:rsidP="00AA0A22">
      <w:pPr>
        <w:widowControl/>
        <w:numPr>
          <w:ilvl w:val="0"/>
          <w:numId w:val="4"/>
        </w:numPr>
        <w:tabs>
          <w:tab w:val="clear" w:pos="144"/>
          <w:tab w:val="left" w:pos="792"/>
        </w:tabs>
        <w:autoSpaceDE/>
        <w:autoSpaceDN/>
        <w:spacing w:before="120"/>
        <w:ind w:left="648"/>
        <w:jc w:val="both"/>
        <w:textAlignment w:val="baseline"/>
        <w:rPr>
          <w:rFonts w:eastAsia="Tahoma"/>
          <w:b/>
          <w:color w:val="000000"/>
          <w:spacing w:val="4"/>
        </w:rPr>
      </w:pPr>
      <w:r w:rsidRPr="00AB2694">
        <w:rPr>
          <w:rFonts w:eastAsia="Tahoma"/>
          <w:b/>
          <w:color w:val="000000"/>
          <w:spacing w:val="4"/>
        </w:rPr>
        <w:t xml:space="preserve">Polizza </w:t>
      </w:r>
      <w:proofErr w:type="spellStart"/>
      <w:r w:rsidRPr="00AB2694">
        <w:rPr>
          <w:rFonts w:eastAsia="Tahoma"/>
          <w:b/>
          <w:color w:val="000000"/>
          <w:spacing w:val="4"/>
        </w:rPr>
        <w:t>RCT</w:t>
      </w:r>
      <w:proofErr w:type="spellEnd"/>
      <w:r w:rsidRPr="00AB2694">
        <w:rPr>
          <w:rFonts w:eastAsia="Tahoma"/>
          <w:b/>
          <w:color w:val="000000"/>
          <w:spacing w:val="4"/>
        </w:rPr>
        <w:t>/RCO con ultima quietanza di pagamento;</w:t>
      </w:r>
    </w:p>
    <w:p w14:paraId="5C66C540" w14:textId="77777777" w:rsidR="00A30293" w:rsidRDefault="00A30293" w:rsidP="00AA0A22">
      <w:pPr>
        <w:widowControl/>
        <w:numPr>
          <w:ilvl w:val="0"/>
          <w:numId w:val="4"/>
        </w:numPr>
        <w:tabs>
          <w:tab w:val="clear" w:pos="144"/>
          <w:tab w:val="left" w:pos="792"/>
        </w:tabs>
        <w:autoSpaceDE/>
        <w:autoSpaceDN/>
        <w:spacing w:before="120"/>
        <w:ind w:left="648"/>
        <w:jc w:val="both"/>
        <w:textAlignment w:val="baseline"/>
        <w:rPr>
          <w:rFonts w:eastAsia="Tahoma"/>
          <w:b/>
          <w:color w:val="000000"/>
          <w:spacing w:val="14"/>
        </w:rPr>
      </w:pPr>
      <w:r w:rsidRPr="00AB2694">
        <w:rPr>
          <w:rFonts w:eastAsia="Tahoma"/>
          <w:b/>
          <w:color w:val="000000"/>
          <w:spacing w:val="14"/>
        </w:rPr>
        <w:t>Documento di Valutazione dei Rischi (DVR).</w:t>
      </w:r>
    </w:p>
    <w:p w14:paraId="3EE2389C" w14:textId="77777777" w:rsidR="00DA19B6" w:rsidRDefault="00DA19B6" w:rsidP="00AA0A22">
      <w:pPr>
        <w:spacing w:before="120"/>
        <w:jc w:val="both"/>
        <w:textAlignment w:val="baseline"/>
      </w:pPr>
    </w:p>
    <w:p w14:paraId="6DAA1891" w14:textId="53D21E53" w:rsidR="00A30293" w:rsidRPr="00AB2694" w:rsidRDefault="00A30293" w:rsidP="00AA0A22">
      <w:pPr>
        <w:spacing w:before="120"/>
        <w:jc w:val="both"/>
        <w:textAlignment w:val="baseline"/>
        <w:rPr>
          <w:rFonts w:eastAsia="Tahoma"/>
          <w:b/>
          <w:color w:val="000000"/>
          <w:spacing w:val="-1"/>
          <w:u w:val="single"/>
        </w:rPr>
      </w:pPr>
      <w:r w:rsidRPr="00AB2694">
        <w:rPr>
          <w:rFonts w:eastAsia="Tahoma"/>
          <w:b/>
          <w:color w:val="000000"/>
          <w:spacing w:val="-1"/>
        </w:rPr>
        <w:t xml:space="preserve">La suddetta documentazione dovrà essere inviata al seguente indirizzo </w:t>
      </w:r>
      <w:proofErr w:type="spellStart"/>
      <w:r w:rsidRPr="00AB2694">
        <w:rPr>
          <w:rFonts w:eastAsia="Tahoma"/>
          <w:b/>
          <w:color w:val="000000"/>
          <w:spacing w:val="-1"/>
        </w:rPr>
        <w:t>pec</w:t>
      </w:r>
      <w:proofErr w:type="spellEnd"/>
      <w:r w:rsidRPr="00AB2694">
        <w:rPr>
          <w:rFonts w:eastAsia="Tahoma"/>
          <w:b/>
          <w:color w:val="000000"/>
          <w:spacing w:val="-1"/>
        </w:rPr>
        <w:t xml:space="preserve">: </w:t>
      </w:r>
      <w:r w:rsidRPr="00AB2694">
        <w:rPr>
          <w:rFonts w:eastAsia="Tahoma"/>
          <w:b/>
          <w:color w:val="000000"/>
          <w:spacing w:val="-1"/>
          <w:u w:val="single"/>
        </w:rPr>
        <w:t xml:space="preserve">twsacea@pec.it </w:t>
      </w:r>
    </w:p>
    <w:p w14:paraId="317D573B" w14:textId="77777777" w:rsidR="00A30293" w:rsidRDefault="00A30293" w:rsidP="00A30293">
      <w:pPr>
        <w:rPr>
          <w:rFonts w:ascii="Times New Roman" w:eastAsia="PMingLiU" w:hAnsi="Times New Roman"/>
          <w:lang w:val="en-US"/>
        </w:rPr>
      </w:pPr>
    </w:p>
    <w:p w14:paraId="32FF8194" w14:textId="77DF1948" w:rsidR="00A617A3" w:rsidRDefault="00A617A3" w:rsidP="000255C7">
      <w:pPr>
        <w:pStyle w:val="Corpotesto"/>
        <w:spacing w:before="120"/>
        <w:ind w:left="112" w:right="-7"/>
      </w:pPr>
      <w:r>
        <w:rPr>
          <w:b/>
          <w:bCs/>
          <w:color w:val="FF0000"/>
        </w:rPr>
        <w:t xml:space="preserve">Ufficio </w:t>
      </w:r>
      <w:proofErr w:type="spellStart"/>
      <w:r>
        <w:rPr>
          <w:b/>
          <w:bCs/>
          <w:color w:val="FF0000"/>
        </w:rPr>
        <w:t>LeA</w:t>
      </w:r>
      <w:proofErr w:type="spellEnd"/>
      <w:r>
        <w:rPr>
          <w:b/>
          <w:bCs/>
          <w:color w:val="FF0000"/>
        </w:rPr>
        <w:t xml:space="preserve"> ha compito di creare la cartella relativa al subappalto e salvare documentazione di riferimento.</w:t>
      </w:r>
    </w:p>
    <w:sectPr w:rsidR="00A617A3" w:rsidSect="00691D6D">
      <w:headerReference w:type="default" r:id="rId8"/>
      <w:footerReference w:type="default" r:id="rId9"/>
      <w:pgSz w:w="11907" w:h="16840" w:code="9"/>
      <w:pgMar w:top="1134" w:right="1134" w:bottom="567" w:left="1134" w:header="284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354F99D" w14:textId="77777777" w:rsidR="007463F9" w:rsidRDefault="007463F9">
      <w:r>
        <w:separator/>
      </w:r>
    </w:p>
  </w:endnote>
  <w:endnote w:type="continuationSeparator" w:id="0">
    <w:p w14:paraId="752AD3BC" w14:textId="77777777" w:rsidR="007463F9" w:rsidRDefault="007463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illSans">
    <w:altName w:val="Calibri"/>
    <w:charset w:val="00"/>
    <w:family w:val="auto"/>
    <w:pitch w:val="variable"/>
    <w:sig w:usb0="00000000" w:usb1="00000000" w:usb2="00000000" w:usb3="00000000" w:csb0="000001F7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AD7ACC" w14:textId="254A191C" w:rsidR="00953EE5" w:rsidRPr="00953EE5" w:rsidRDefault="00953EE5">
    <w:pPr>
      <w:rPr>
        <w:sz w:val="16"/>
        <w:szCs w:val="16"/>
      </w:rPr>
    </w:pPr>
    <w:r w:rsidRPr="00953EE5">
      <w:rPr>
        <w:sz w:val="16"/>
        <w:szCs w:val="16"/>
      </w:rPr>
      <w:t xml:space="preserve">Pag. </w:t>
    </w:r>
    <w:r w:rsidRPr="00953EE5">
      <w:rPr>
        <w:b/>
        <w:bCs/>
        <w:sz w:val="16"/>
        <w:szCs w:val="16"/>
      </w:rPr>
      <w:fldChar w:fldCharType="begin"/>
    </w:r>
    <w:r w:rsidRPr="00953EE5">
      <w:rPr>
        <w:b/>
        <w:bCs/>
        <w:sz w:val="16"/>
        <w:szCs w:val="16"/>
      </w:rPr>
      <w:instrText>PAGE  \* Arabic  \* MERGEFORMAT</w:instrText>
    </w:r>
    <w:r w:rsidRPr="00953EE5">
      <w:rPr>
        <w:b/>
        <w:bCs/>
        <w:sz w:val="16"/>
        <w:szCs w:val="16"/>
      </w:rPr>
      <w:fldChar w:fldCharType="separate"/>
    </w:r>
    <w:r w:rsidRPr="00953EE5">
      <w:rPr>
        <w:b/>
        <w:bCs/>
        <w:sz w:val="16"/>
        <w:szCs w:val="16"/>
      </w:rPr>
      <w:t>1</w:t>
    </w:r>
    <w:r w:rsidRPr="00953EE5">
      <w:rPr>
        <w:b/>
        <w:bCs/>
        <w:sz w:val="16"/>
        <w:szCs w:val="16"/>
      </w:rPr>
      <w:fldChar w:fldCharType="end"/>
    </w:r>
    <w:r w:rsidRPr="00953EE5">
      <w:rPr>
        <w:sz w:val="16"/>
        <w:szCs w:val="16"/>
      </w:rPr>
      <w:t xml:space="preserve"> a </w:t>
    </w:r>
    <w:r w:rsidRPr="00953EE5">
      <w:rPr>
        <w:b/>
        <w:bCs/>
        <w:sz w:val="16"/>
        <w:szCs w:val="16"/>
      </w:rPr>
      <w:fldChar w:fldCharType="begin"/>
    </w:r>
    <w:r w:rsidRPr="00953EE5">
      <w:rPr>
        <w:b/>
        <w:bCs/>
        <w:sz w:val="16"/>
        <w:szCs w:val="16"/>
      </w:rPr>
      <w:instrText>NUMPAGES  \* Arabic  \* MERGEFORMAT</w:instrText>
    </w:r>
    <w:r w:rsidRPr="00953EE5">
      <w:rPr>
        <w:b/>
        <w:bCs/>
        <w:sz w:val="16"/>
        <w:szCs w:val="16"/>
      </w:rPr>
      <w:fldChar w:fldCharType="separate"/>
    </w:r>
    <w:r w:rsidRPr="00953EE5">
      <w:rPr>
        <w:b/>
        <w:bCs/>
        <w:sz w:val="16"/>
        <w:szCs w:val="16"/>
      </w:rPr>
      <w:t>2</w:t>
    </w:r>
    <w:r w:rsidRPr="00953EE5">
      <w:rPr>
        <w:b/>
        <w:bCs/>
        <w:sz w:val="16"/>
        <w:szCs w:val="16"/>
      </w:rPr>
      <w:fldChar w:fldCharType="end"/>
    </w:r>
  </w:p>
  <w:tbl>
    <w:tblPr>
      <w:tblW w:w="10773" w:type="dxa"/>
      <w:jc w:val="center"/>
      <w:tblLook w:val="04A0" w:firstRow="1" w:lastRow="0" w:firstColumn="1" w:lastColumn="0" w:noHBand="0" w:noVBand="1"/>
    </w:tblPr>
    <w:tblGrid>
      <w:gridCol w:w="4767"/>
      <w:gridCol w:w="2219"/>
      <w:gridCol w:w="2251"/>
      <w:gridCol w:w="1536"/>
    </w:tblGrid>
    <w:tr w:rsidR="004535E2" w14:paraId="530FB4D9" w14:textId="77777777" w:rsidTr="00953EE5">
      <w:trPr>
        <w:jc w:val="center"/>
      </w:trPr>
      <w:tc>
        <w:tcPr>
          <w:tcW w:w="4767" w:type="dxa"/>
          <w:shd w:val="clear" w:color="auto" w:fill="auto"/>
        </w:tcPr>
        <w:p w14:paraId="37D05800" w14:textId="77777777" w:rsidR="004535E2" w:rsidRPr="0032017E" w:rsidRDefault="004535E2" w:rsidP="004535E2">
          <w:pPr>
            <w:rPr>
              <w:rFonts w:eastAsia="Cambria" w:cs="Calibri"/>
              <w:color w:val="A6A6A6"/>
              <w:sz w:val="14"/>
              <w:szCs w:val="14"/>
            </w:rPr>
          </w:pPr>
          <w:r w:rsidRPr="0032017E">
            <w:rPr>
              <w:rStyle w:val="A0"/>
              <w:rFonts w:eastAsia="Cambria"/>
              <w:b/>
              <w:bCs/>
              <w:sz w:val="16"/>
              <w:szCs w:val="16"/>
              <w:lang w:val="en-US"/>
            </w:rPr>
            <w:t xml:space="preserve">Technologies for Water Services </w:t>
          </w:r>
          <w:proofErr w:type="spellStart"/>
          <w:r w:rsidRPr="0032017E">
            <w:rPr>
              <w:rStyle w:val="A0"/>
              <w:rFonts w:eastAsia="Cambria"/>
              <w:b/>
              <w:bCs/>
              <w:sz w:val="16"/>
              <w:szCs w:val="16"/>
              <w:lang w:val="en-US"/>
            </w:rPr>
            <w:t>SpA</w:t>
          </w:r>
          <w:proofErr w:type="spellEnd"/>
          <w:r w:rsidRPr="0032017E">
            <w:rPr>
              <w:rStyle w:val="A0"/>
              <w:rFonts w:eastAsia="Cambria"/>
              <w:b/>
              <w:bCs/>
              <w:sz w:val="16"/>
              <w:szCs w:val="16"/>
              <w:lang w:val="en-US"/>
            </w:rPr>
            <w:t xml:space="preserve"> – in breve TWS </w:t>
          </w:r>
          <w:proofErr w:type="spellStart"/>
          <w:r w:rsidRPr="0032017E">
            <w:rPr>
              <w:rStyle w:val="A0"/>
              <w:rFonts w:eastAsia="Cambria"/>
              <w:b/>
              <w:bCs/>
              <w:sz w:val="16"/>
              <w:szCs w:val="16"/>
              <w:lang w:val="en-US"/>
            </w:rPr>
            <w:t>SpA</w:t>
          </w:r>
          <w:proofErr w:type="spellEnd"/>
          <w:r w:rsidRPr="0032017E">
            <w:rPr>
              <w:rStyle w:val="A0"/>
              <w:rFonts w:eastAsia="Cambria"/>
              <w:b/>
              <w:bCs/>
              <w:sz w:val="16"/>
              <w:szCs w:val="16"/>
              <w:lang w:val="en-US"/>
            </w:rPr>
            <w:t xml:space="preserve"> </w:t>
          </w:r>
          <w:r w:rsidRPr="0032017E">
            <w:rPr>
              <w:rFonts w:eastAsia="Cambria" w:cs="Calibri"/>
              <w:i/>
              <w:iCs/>
              <w:color w:val="A6A6A6"/>
              <w:sz w:val="14"/>
              <w:szCs w:val="14"/>
            </w:rPr>
            <w:t>capitale sociale</w:t>
          </w:r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 € 11.164.000,00 </w:t>
          </w:r>
          <w:proofErr w:type="spellStart"/>
          <w:r w:rsidRPr="0032017E">
            <w:rPr>
              <w:rFonts w:eastAsia="Cambria" w:cs="Calibri"/>
              <w:color w:val="A6A6A6"/>
              <w:sz w:val="14"/>
              <w:szCs w:val="14"/>
            </w:rPr>
            <w:t>i.v</w:t>
          </w:r>
          <w:proofErr w:type="spellEnd"/>
          <w:r w:rsidRPr="0032017E">
            <w:rPr>
              <w:rFonts w:eastAsia="Cambria" w:cs="Calibri"/>
              <w:color w:val="A6A6A6"/>
              <w:sz w:val="14"/>
              <w:szCs w:val="14"/>
            </w:rPr>
            <w:t>. – C.F. P. IVA CF e P.IVA 12561010153 - CCIAA BRESCIA REA 425315</w:t>
          </w:r>
        </w:p>
        <w:p w14:paraId="4ECCC4E0" w14:textId="77777777" w:rsidR="004535E2" w:rsidRPr="0032017E" w:rsidRDefault="004535E2" w:rsidP="004535E2">
          <w:pPr>
            <w:rPr>
              <w:rFonts w:eastAsia="Cambria" w:cs="Calibri"/>
              <w:color w:val="A6A6A6"/>
              <w:sz w:val="14"/>
              <w:szCs w:val="14"/>
            </w:rPr>
          </w:pPr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Società soggetta al controllo e coordinamento di </w:t>
          </w:r>
          <w:r w:rsidRPr="0032017E">
            <w:rPr>
              <w:rFonts w:eastAsia="Cambria" w:cs="Calibri"/>
              <w:b/>
              <w:bCs/>
              <w:color w:val="A6A6A6"/>
              <w:sz w:val="14"/>
              <w:szCs w:val="14"/>
            </w:rPr>
            <w:t>Acea</w:t>
          </w:r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 </w:t>
          </w:r>
          <w:proofErr w:type="spellStart"/>
          <w:r w:rsidRPr="0032017E">
            <w:rPr>
              <w:rFonts w:eastAsia="Cambria" w:cs="Calibri"/>
              <w:color w:val="A6A6A6"/>
              <w:sz w:val="14"/>
              <w:szCs w:val="14"/>
            </w:rPr>
            <w:t>SpA</w:t>
          </w:r>
          <w:proofErr w:type="spellEnd"/>
          <w:r w:rsidRPr="0032017E">
            <w:rPr>
              <w:rFonts w:eastAsia="Cambria" w:cs="Calibri"/>
              <w:color w:val="A6A6A6"/>
              <w:sz w:val="14"/>
              <w:szCs w:val="14"/>
            </w:rPr>
            <w:t>.</w:t>
          </w:r>
        </w:p>
        <w:p w14:paraId="20A9AD27" w14:textId="77777777" w:rsidR="004535E2" w:rsidRPr="0032017E" w:rsidRDefault="004535E2" w:rsidP="004535E2">
          <w:pPr>
            <w:rPr>
              <w:rFonts w:ascii="Aptos" w:eastAsia="Cambria" w:hAnsi="Aptos" w:cs="Aptos"/>
              <w:sz w:val="13"/>
              <w:szCs w:val="13"/>
            </w:rPr>
          </w:pPr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Socio che esercita la direzione e il coordinamento ai sensi dell’art. 2497 bis c.c.: Acea </w:t>
          </w:r>
          <w:proofErr w:type="spellStart"/>
          <w:r w:rsidRPr="0032017E">
            <w:rPr>
              <w:rFonts w:eastAsia="Cambria" w:cs="Calibri"/>
              <w:color w:val="A6A6A6"/>
              <w:sz w:val="14"/>
              <w:szCs w:val="14"/>
            </w:rPr>
            <w:t>SpA</w:t>
          </w:r>
          <w:proofErr w:type="spellEnd"/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 – C.F. 05394801004 – </w:t>
          </w:r>
          <w:r w:rsidRPr="0032017E">
            <w:rPr>
              <w:rFonts w:eastAsia="Cambria" w:cs="Calibri"/>
              <w:b/>
              <w:bCs/>
              <w:color w:val="A6A6A6"/>
              <w:sz w:val="14"/>
              <w:szCs w:val="14"/>
            </w:rPr>
            <w:t>www.acea.it</w:t>
          </w:r>
        </w:p>
      </w:tc>
      <w:tc>
        <w:tcPr>
          <w:tcW w:w="2219" w:type="dxa"/>
          <w:shd w:val="clear" w:color="auto" w:fill="auto"/>
        </w:tcPr>
        <w:p w14:paraId="28647A99" w14:textId="77777777" w:rsidR="004535E2" w:rsidRPr="0032017E" w:rsidRDefault="004535E2" w:rsidP="004535E2">
          <w:pPr>
            <w:rPr>
              <w:rFonts w:eastAsia="Cambria" w:cs="Calibri"/>
              <w:color w:val="A6A6A6"/>
              <w:sz w:val="14"/>
              <w:szCs w:val="14"/>
            </w:rPr>
          </w:pPr>
          <w:r w:rsidRPr="0032017E">
            <w:rPr>
              <w:rFonts w:eastAsia="Cambria" w:cs="Calibri"/>
              <w:color w:val="A6A6A6"/>
              <w:sz w:val="14"/>
              <w:szCs w:val="14"/>
            </w:rPr>
            <w:t>Via Ticino n. 9</w:t>
          </w:r>
        </w:p>
        <w:p w14:paraId="31C019B9" w14:textId="77777777" w:rsidR="004535E2" w:rsidRPr="0032017E" w:rsidRDefault="004535E2" w:rsidP="004535E2">
          <w:pPr>
            <w:rPr>
              <w:rFonts w:eastAsia="Cambria" w:cs="Calibri"/>
              <w:color w:val="A6A6A6"/>
              <w:sz w:val="14"/>
              <w:szCs w:val="14"/>
            </w:rPr>
          </w:pPr>
          <w:r w:rsidRPr="0032017E">
            <w:rPr>
              <w:rFonts w:eastAsia="Cambria" w:cs="Calibri"/>
              <w:color w:val="A6A6A6"/>
              <w:sz w:val="14"/>
              <w:szCs w:val="14"/>
            </w:rPr>
            <w:t>25015 Desenzano del Garda (</w:t>
          </w:r>
          <w:proofErr w:type="spellStart"/>
          <w:r w:rsidRPr="0032017E">
            <w:rPr>
              <w:rFonts w:eastAsia="Cambria" w:cs="Calibri"/>
              <w:color w:val="A6A6A6"/>
              <w:sz w:val="14"/>
              <w:szCs w:val="14"/>
            </w:rPr>
            <w:t>BS</w:t>
          </w:r>
          <w:proofErr w:type="spellEnd"/>
          <w:r w:rsidRPr="0032017E">
            <w:rPr>
              <w:rFonts w:eastAsia="Cambria" w:cs="Calibri"/>
              <w:color w:val="A6A6A6"/>
              <w:sz w:val="14"/>
              <w:szCs w:val="14"/>
            </w:rPr>
            <w:t>)</w:t>
          </w:r>
          <w:r w:rsidRPr="0032017E">
            <w:rPr>
              <w:rFonts w:eastAsia="Cambria" w:cs="Calibri"/>
              <w:color w:val="A6A6A6"/>
              <w:sz w:val="14"/>
              <w:szCs w:val="14"/>
            </w:rPr>
            <w:br/>
          </w:r>
          <w:proofErr w:type="spellStart"/>
          <w:r w:rsidRPr="0032017E">
            <w:rPr>
              <w:rFonts w:eastAsia="Cambria" w:cs="Calibri"/>
              <w:color w:val="A6A6A6"/>
              <w:sz w:val="14"/>
              <w:szCs w:val="14"/>
            </w:rPr>
            <w:t>ph</w:t>
          </w:r>
          <w:proofErr w:type="spellEnd"/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 + 39 030 9990553</w:t>
          </w:r>
        </w:p>
        <w:p w14:paraId="31A79564" w14:textId="77777777" w:rsidR="004535E2" w:rsidRPr="0032017E" w:rsidRDefault="004535E2" w:rsidP="004535E2">
          <w:pPr>
            <w:rPr>
              <w:rFonts w:eastAsia="Cambria" w:cs="Calibri"/>
              <w:color w:val="A6A6A6"/>
              <w:sz w:val="14"/>
              <w:szCs w:val="14"/>
            </w:rPr>
          </w:pPr>
          <w:r w:rsidRPr="0032017E">
            <w:rPr>
              <w:rFonts w:eastAsia="Cambria" w:cs="Calibri"/>
              <w:color w:val="A6A6A6"/>
              <w:sz w:val="14"/>
              <w:szCs w:val="14"/>
            </w:rPr>
            <w:t>Faz +39 030 9990563</w:t>
          </w:r>
        </w:p>
        <w:p w14:paraId="051AE63D" w14:textId="77777777" w:rsidR="004535E2" w:rsidRPr="0032017E" w:rsidRDefault="004535E2" w:rsidP="004535E2">
          <w:pPr>
            <w:rPr>
              <w:rFonts w:eastAsia="Cambria" w:cs="Calibri"/>
              <w:color w:val="A6A6A6"/>
              <w:sz w:val="14"/>
              <w:szCs w:val="14"/>
            </w:rPr>
          </w:pPr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info@twsacea.com – </w:t>
          </w:r>
        </w:p>
        <w:p w14:paraId="73FF5B85" w14:textId="77777777" w:rsidR="004535E2" w:rsidRPr="0032017E" w:rsidRDefault="004535E2" w:rsidP="004535E2">
          <w:pPr>
            <w:rPr>
              <w:rFonts w:ascii="Aptos" w:eastAsia="Cambria" w:hAnsi="Aptos" w:cs="Aptos"/>
              <w:sz w:val="13"/>
              <w:szCs w:val="13"/>
            </w:rPr>
          </w:pPr>
          <w:proofErr w:type="spellStart"/>
          <w:r w:rsidRPr="0032017E">
            <w:rPr>
              <w:rFonts w:eastAsia="Cambria" w:cs="Calibri"/>
              <w:color w:val="A6A6A6"/>
              <w:sz w:val="14"/>
              <w:szCs w:val="14"/>
            </w:rPr>
            <w:t>pec</w:t>
          </w:r>
          <w:proofErr w:type="spellEnd"/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 twsacea@pec.it </w:t>
          </w:r>
          <w:r w:rsidRPr="0032017E">
            <w:rPr>
              <w:rFonts w:eastAsia="Cambria" w:cs="Calibri"/>
              <w:color w:val="A6A6A6"/>
              <w:sz w:val="14"/>
              <w:szCs w:val="14"/>
            </w:rPr>
            <w:tab/>
          </w:r>
          <w:r w:rsidRPr="0032017E">
            <w:rPr>
              <w:rFonts w:ascii="Aptos" w:eastAsia="Cambria" w:hAnsi="Aptos" w:cs="Aptos"/>
              <w:color w:val="A6A6A6"/>
              <w:sz w:val="14"/>
              <w:szCs w:val="14"/>
            </w:rPr>
            <w:t xml:space="preserve">     </w:t>
          </w:r>
        </w:p>
      </w:tc>
      <w:tc>
        <w:tcPr>
          <w:tcW w:w="2251" w:type="dxa"/>
          <w:shd w:val="clear" w:color="auto" w:fill="auto"/>
        </w:tcPr>
        <w:p w14:paraId="2666E159" w14:textId="3E57FCEF" w:rsidR="004535E2" w:rsidRPr="0032017E" w:rsidRDefault="004535E2" w:rsidP="004535E2">
          <w:pPr>
            <w:rPr>
              <w:rFonts w:ascii="Aptos" w:eastAsia="Cambria" w:hAnsi="Aptos" w:cs="Aptos"/>
              <w:sz w:val="13"/>
              <w:szCs w:val="13"/>
            </w:rPr>
          </w:pPr>
          <w:r w:rsidRPr="0032017E">
            <w:rPr>
              <w:rFonts w:ascii="Courier" w:eastAsia="Cambria" w:hAnsi="Courier"/>
              <w:noProof/>
            </w:rPr>
            <w:drawing>
              <wp:anchor distT="0" distB="0" distL="114300" distR="114300" simplePos="0" relativeHeight="251660288" behindDoc="1" locked="0" layoutInCell="1" allowOverlap="1" wp14:anchorId="7A6C1500" wp14:editId="2DCA20C5">
                <wp:simplePos x="0" y="0"/>
                <wp:positionH relativeFrom="column">
                  <wp:posOffset>4755515</wp:posOffset>
                </wp:positionH>
                <wp:positionV relativeFrom="paragraph">
                  <wp:posOffset>9462135</wp:posOffset>
                </wp:positionV>
                <wp:extent cx="1156335" cy="276225"/>
                <wp:effectExtent l="0" t="0" r="0" b="0"/>
                <wp:wrapNone/>
                <wp:docPr id="972958351" name="Immagine 4" descr="Immagine che contiene testo, Carattere, Elementi grafici, logo&#10;&#10;Descrizione generat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72958351" name="Immagine 4" descr="Immagine che contiene testo, Carattere, Elementi grafici, logo&#10;&#10;Descrizione generata automa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56335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Pr="0032017E">
            <w:rPr>
              <w:rFonts w:ascii="Courier" w:eastAsia="Cambria" w:hAnsi="Courier"/>
              <w:noProof/>
            </w:rPr>
            <w:drawing>
              <wp:anchor distT="0" distB="0" distL="114300" distR="114300" simplePos="0" relativeHeight="251656192" behindDoc="1" locked="0" layoutInCell="1" allowOverlap="1" wp14:anchorId="1F6EA806" wp14:editId="076729C2">
                <wp:simplePos x="0" y="0"/>
                <wp:positionH relativeFrom="column">
                  <wp:posOffset>4755515</wp:posOffset>
                </wp:positionH>
                <wp:positionV relativeFrom="paragraph">
                  <wp:posOffset>9462135</wp:posOffset>
                </wp:positionV>
                <wp:extent cx="1156335" cy="276225"/>
                <wp:effectExtent l="0" t="0" r="0" b="0"/>
                <wp:wrapNone/>
                <wp:docPr id="456015220" name="Immagine 3" descr="Immagine che contiene testo, Carattere, Elementi grafici, logo&#10;&#10;Descrizione generat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56015220" name="Immagine 3" descr="Immagine che contiene testo, Carattere, Elementi grafici, logo&#10;&#10;Descrizione generata automa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56335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53DFD9B0" w14:textId="696E7F96" w:rsidR="004535E2" w:rsidRPr="0032017E" w:rsidRDefault="004535E2" w:rsidP="004535E2">
          <w:pPr>
            <w:rPr>
              <w:rFonts w:ascii="Aptos" w:eastAsia="Cambria" w:hAnsi="Aptos" w:cs="Aptos"/>
              <w:sz w:val="13"/>
              <w:szCs w:val="13"/>
            </w:rPr>
          </w:pPr>
          <w:r w:rsidRPr="0032017E">
            <w:rPr>
              <w:rFonts w:ascii="Aptos" w:eastAsia="Cambria" w:hAnsi="Aptos" w:cs="Aptos"/>
              <w:noProof/>
              <w:sz w:val="13"/>
              <w:szCs w:val="13"/>
            </w:rPr>
            <w:drawing>
              <wp:inline distT="0" distB="0" distL="0" distR="0" wp14:anchorId="7330ADF1" wp14:editId="402F1612">
                <wp:extent cx="1083310" cy="253365"/>
                <wp:effectExtent l="0" t="0" r="0" b="0"/>
                <wp:docPr id="1811724199" name="Immagine 2" descr="Immagine che contiene testo, Carattere, tipografia, design&#10;&#10;Descrizione generat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4" descr="Immagine che contiene testo, Carattere, tipografia, design&#10;&#10;Descrizione generata automa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833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536" w:type="dxa"/>
          <w:shd w:val="clear" w:color="auto" w:fill="auto"/>
        </w:tcPr>
        <w:p w14:paraId="4DAF2448" w14:textId="0ED97E6D" w:rsidR="004535E2" w:rsidRPr="0032017E" w:rsidRDefault="004535E2" w:rsidP="004535E2">
          <w:pPr>
            <w:jc w:val="center"/>
            <w:rPr>
              <w:rFonts w:ascii="Tahoma" w:eastAsia="Cambria" w:hAnsi="Tahoma" w:cs="Tahoma"/>
              <w:sz w:val="14"/>
              <w:szCs w:val="14"/>
            </w:rPr>
          </w:pPr>
          <w:r w:rsidRPr="0032017E">
            <w:rPr>
              <w:rFonts w:ascii="Courier" w:eastAsia="Cambria" w:hAnsi="Courier"/>
              <w:noProof/>
            </w:rPr>
            <w:drawing>
              <wp:inline distT="0" distB="0" distL="0" distR="0" wp14:anchorId="2D8DE67F" wp14:editId="3A7AAA06">
                <wp:extent cx="629920" cy="514985"/>
                <wp:effectExtent l="0" t="0" r="0" b="0"/>
                <wp:docPr id="265287190" name="Immagine 1" descr="Immagine che contiene testo, Carattere, schermata, logo&#10;&#10;Descrizione generat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65287190" name="Immagine 1" descr="Immagine che contiene testo, Carattere, schermata, logo&#10;&#10;Descrizione generata automa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29920" cy="514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5CE207E" w14:textId="77777777" w:rsidR="004535E2" w:rsidRDefault="004535E2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8AF99B" w14:textId="77777777" w:rsidR="007463F9" w:rsidRDefault="007463F9">
      <w:r>
        <w:separator/>
      </w:r>
    </w:p>
  </w:footnote>
  <w:footnote w:type="continuationSeparator" w:id="0">
    <w:p w14:paraId="39E86FBC" w14:textId="77777777" w:rsidR="007463F9" w:rsidRDefault="007463F9">
      <w:r>
        <w:continuationSeparator/>
      </w:r>
    </w:p>
  </w:footnote>
  <w:footnote w:id="1">
    <w:p w14:paraId="77C378C8" w14:textId="4A231D09" w:rsidR="003642EB" w:rsidRPr="003642EB" w:rsidRDefault="003642EB" w:rsidP="00D948D1">
      <w:pPr>
        <w:pStyle w:val="Testonotaapidipagina"/>
        <w:jc w:val="both"/>
        <w:rPr>
          <w:i/>
          <w:iCs/>
          <w:color w:val="365F91" w:themeColor="accent1" w:themeShade="BF"/>
          <w:sz w:val="18"/>
          <w:szCs w:val="18"/>
        </w:rPr>
      </w:pPr>
      <w:r w:rsidRPr="003642EB">
        <w:rPr>
          <w:rStyle w:val="Rimandonotaapidipagina"/>
          <w:i/>
          <w:iCs/>
          <w:color w:val="365F91" w:themeColor="accent1" w:themeShade="BF"/>
          <w:sz w:val="18"/>
          <w:szCs w:val="18"/>
        </w:rPr>
        <w:footnoteRef/>
      </w:r>
      <w:r w:rsidRPr="003642EB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Il subappalto è un contratto d’appalto e pertanto il subappaltatore, ai sensi dell’art. 1655 c.c.,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 xml:space="preserve">è direttamente </w:t>
      </w:r>
      <w:r w:rsidR="006468A1" w:rsidRPr="003642EB">
        <w:rPr>
          <w:i/>
          <w:iCs/>
          <w:color w:val="365F91" w:themeColor="accent1" w:themeShade="BF"/>
          <w:sz w:val="18"/>
          <w:szCs w:val="18"/>
        </w:rPr>
        <w:t>responsabile</w:t>
      </w:r>
      <w:r w:rsidR="006468A1">
        <w:rPr>
          <w:i/>
          <w:iCs/>
          <w:color w:val="365F91" w:themeColor="accent1" w:themeShade="BF"/>
          <w:sz w:val="18"/>
          <w:szCs w:val="18"/>
        </w:rPr>
        <w:t xml:space="preserve"> d</w:t>
      </w:r>
      <w:r w:rsidRPr="003642EB">
        <w:rPr>
          <w:i/>
          <w:iCs/>
          <w:color w:val="365F91" w:themeColor="accent1" w:themeShade="BF"/>
          <w:sz w:val="18"/>
          <w:szCs w:val="18"/>
        </w:rPr>
        <w:t>ell’organizzazione dei mezzi ed assume il rischio del risultato delle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prestazioni oggetto del contratto di subappalto;</w:t>
      </w:r>
    </w:p>
    <w:p w14:paraId="15F81DB9" w14:textId="13F7341B" w:rsidR="003642EB" w:rsidRPr="003642EB" w:rsidRDefault="003642EB" w:rsidP="00D948D1">
      <w:pPr>
        <w:pStyle w:val="Testonotaapidipagina"/>
        <w:jc w:val="both"/>
        <w:rPr>
          <w:i/>
          <w:iCs/>
          <w:color w:val="365F91" w:themeColor="accent1" w:themeShade="BF"/>
          <w:sz w:val="18"/>
          <w:szCs w:val="18"/>
        </w:rPr>
      </w:pPr>
      <w:r w:rsidRPr="003642EB">
        <w:rPr>
          <w:i/>
          <w:iCs/>
          <w:color w:val="365F91" w:themeColor="accent1" w:themeShade="BF"/>
          <w:sz w:val="18"/>
          <w:szCs w:val="18"/>
        </w:rPr>
        <w:t>- il subappalto è un contratto derivato e pertanto intrinsecamente finalizzato alla realizzazione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di parte del contratto d’appalto principale stipulato tra amministrazione committente ed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appaltatore; ne consegue che il subappaltatore, pur non avendo costituito alcun legame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giuridico con l’amministrazione committente, esegue una prestazione che è rivolta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direttamente in favore di quest’ultima;</w:t>
      </w:r>
    </w:p>
    <w:p w14:paraId="6A98FD9F" w14:textId="77777777" w:rsidR="003642EB" w:rsidRPr="003642EB" w:rsidRDefault="003642EB" w:rsidP="00D948D1">
      <w:pPr>
        <w:pStyle w:val="Testonotaapidipagina"/>
        <w:jc w:val="both"/>
        <w:rPr>
          <w:i/>
          <w:iCs/>
          <w:color w:val="365F91" w:themeColor="accent1" w:themeShade="BF"/>
          <w:sz w:val="18"/>
          <w:szCs w:val="18"/>
        </w:rPr>
      </w:pPr>
      <w:r w:rsidRPr="003642EB">
        <w:rPr>
          <w:i/>
          <w:iCs/>
          <w:color w:val="365F91" w:themeColor="accent1" w:themeShade="BF"/>
          <w:sz w:val="18"/>
          <w:szCs w:val="18"/>
        </w:rPr>
        <w:t>per contro</w:t>
      </w:r>
    </w:p>
    <w:p w14:paraId="7BF0F582" w14:textId="2B1FC1D1" w:rsidR="003642EB" w:rsidRPr="003642EB" w:rsidRDefault="003642EB" w:rsidP="00D948D1">
      <w:pPr>
        <w:pStyle w:val="Testonotaapidipagina"/>
        <w:jc w:val="both"/>
        <w:rPr>
          <w:i/>
          <w:iCs/>
          <w:color w:val="365F91" w:themeColor="accent1" w:themeShade="BF"/>
          <w:sz w:val="18"/>
          <w:szCs w:val="18"/>
        </w:rPr>
      </w:pPr>
      <w:r w:rsidRPr="003642EB">
        <w:rPr>
          <w:i/>
          <w:iCs/>
          <w:color w:val="365F91" w:themeColor="accent1" w:themeShade="BF"/>
          <w:sz w:val="18"/>
          <w:szCs w:val="18"/>
        </w:rPr>
        <w:t>- il subcontraente si impegna esclusivamente a porre nella disponibilità dell’appaltatore un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prodotto o un servizio che quest’ultimo utilizzerà per realizzare l’oggetto dell’appalto (TAR del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Lazio – Roma, Sez. I bis, 20.2.2018, n. 1956);</w:t>
      </w:r>
    </w:p>
    <w:p w14:paraId="47ADA02D" w14:textId="51828139" w:rsidR="003642EB" w:rsidRPr="003642EB" w:rsidRDefault="003642EB" w:rsidP="00D948D1">
      <w:pPr>
        <w:pStyle w:val="Testonotaapidipagina"/>
        <w:jc w:val="both"/>
        <w:rPr>
          <w:i/>
          <w:iCs/>
          <w:color w:val="365F91" w:themeColor="accent1" w:themeShade="BF"/>
          <w:sz w:val="18"/>
          <w:szCs w:val="18"/>
        </w:rPr>
      </w:pPr>
      <w:r w:rsidRPr="003642EB">
        <w:rPr>
          <w:i/>
          <w:iCs/>
          <w:color w:val="365F91" w:themeColor="accent1" w:themeShade="BF"/>
          <w:sz w:val="18"/>
          <w:szCs w:val="18"/>
        </w:rPr>
        <w:t>- la prestazione del subcontraente è unicamente rivolta a favore dell’operatore economico che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esegue l’appalto (Consiglio di Stato, sezione V, 27.12.2018, n. 7256).</w:t>
      </w:r>
    </w:p>
    <w:p w14:paraId="3C236655" w14:textId="0A7D580F" w:rsidR="003642EB" w:rsidRPr="003642EB" w:rsidRDefault="003642EB" w:rsidP="00D948D1">
      <w:pPr>
        <w:pStyle w:val="Testonotaapidipagina"/>
        <w:jc w:val="both"/>
        <w:rPr>
          <w:i/>
          <w:iCs/>
          <w:color w:val="365F91" w:themeColor="accent1" w:themeShade="BF"/>
          <w:sz w:val="18"/>
          <w:szCs w:val="18"/>
        </w:rPr>
      </w:pPr>
      <w:r w:rsidRPr="003642EB">
        <w:rPr>
          <w:i/>
          <w:iCs/>
          <w:color w:val="365F91" w:themeColor="accent1" w:themeShade="BF"/>
          <w:sz w:val="18"/>
          <w:szCs w:val="18"/>
        </w:rPr>
        <w:t>Con specifico riferimento alla distinzione tra subappalto e subfornitura, la giurisprudenza ha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elaborato un criterio, utilizzabile a tale scopo, riferito alla “trasformazione soggettiva del bene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fornito”, in ragione del quale:</w:t>
      </w:r>
    </w:p>
    <w:p w14:paraId="4B0AE847" w14:textId="2B89B2FB" w:rsidR="003642EB" w:rsidRPr="003642EB" w:rsidRDefault="003642EB" w:rsidP="00D948D1">
      <w:pPr>
        <w:pStyle w:val="Testonotaapidipagina"/>
        <w:jc w:val="both"/>
        <w:rPr>
          <w:i/>
          <w:iCs/>
          <w:color w:val="365F91" w:themeColor="accent1" w:themeShade="BF"/>
          <w:sz w:val="18"/>
          <w:szCs w:val="18"/>
        </w:rPr>
      </w:pPr>
      <w:r w:rsidRPr="003642EB">
        <w:rPr>
          <w:i/>
          <w:iCs/>
          <w:color w:val="365F91" w:themeColor="accent1" w:themeShade="BF"/>
          <w:sz w:val="18"/>
          <w:szCs w:val="18"/>
        </w:rPr>
        <w:t>- ricorrerà la fattispecie del subappalto ogniqualvolta il bene da porre in opera viene trasformato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all'interno del cantiere o, in altri termini, quando il materiale fornito diviene bene, in senso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giuridico, all'interno del cantiere, con una posa consistente nella incorporazione nell’opera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mediante macchinari e operai specializzati (es. posa del tappetino bituminoso);</w:t>
      </w:r>
    </w:p>
    <w:p w14:paraId="0E2F3A67" w14:textId="30136543" w:rsidR="003642EB" w:rsidRDefault="003642EB" w:rsidP="00D948D1">
      <w:pPr>
        <w:pStyle w:val="Testonotaapidipagina"/>
        <w:jc w:val="both"/>
      </w:pPr>
      <w:r w:rsidRPr="003642EB">
        <w:rPr>
          <w:i/>
          <w:iCs/>
          <w:color w:val="365F91" w:themeColor="accent1" w:themeShade="BF"/>
          <w:sz w:val="18"/>
          <w:szCs w:val="18"/>
        </w:rPr>
        <w:t>- si avrà invece fornitura e posa in opera nelle ipotesi in cui il materiale fornito entra già in cantiere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come un bene finito (es. bene prodotto in serie), avente una specifica destinazione d’uso, e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pronto per essere ivi lavorato con prestazioni del tutto accessorie e strumentali (quali, ad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esempio, il montaggio, l’assemblaggio, l’incollatura, la bullonatura) che non modificano in alcun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modo il bene e la sua destinazione d’uso, ma sono dirette solamente a consentirne l’utilizzo; è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inoltre un elemento di valutazione il presupposto che l’incorporazione nell’opera non necessiti</w:t>
      </w:r>
      <w:r w:rsidR="00D948D1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Pr="003642EB">
        <w:rPr>
          <w:i/>
          <w:iCs/>
          <w:color w:val="365F91" w:themeColor="accent1" w:themeShade="BF"/>
          <w:sz w:val="18"/>
          <w:szCs w:val="18"/>
        </w:rPr>
        <w:t>di lavorazioni strutturali/significative sull’opera stessa</w:t>
      </w:r>
      <w:r>
        <w:rPr>
          <w:i/>
          <w:iCs/>
          <w:color w:val="365F91" w:themeColor="accent1" w:themeShade="BF"/>
          <w:sz w:val="18"/>
          <w:szCs w:val="18"/>
        </w:rPr>
        <w:t>.</w:t>
      </w:r>
    </w:p>
  </w:footnote>
  <w:footnote w:id="2">
    <w:p w14:paraId="0EA935CF" w14:textId="77777777" w:rsidR="003642EB" w:rsidRPr="00E1760A" w:rsidRDefault="003642EB" w:rsidP="003642EB">
      <w:pPr>
        <w:pStyle w:val="Corpotesto"/>
        <w:ind w:left="113" w:right="-6"/>
        <w:jc w:val="both"/>
        <w:rPr>
          <w:i/>
          <w:iCs/>
          <w:color w:val="365F91" w:themeColor="accent1" w:themeShade="BF"/>
          <w:sz w:val="18"/>
          <w:szCs w:val="18"/>
        </w:rPr>
      </w:pPr>
      <w:r>
        <w:rPr>
          <w:rStyle w:val="Rimandonotaapidipagina"/>
        </w:rPr>
        <w:footnoteRef/>
      </w:r>
      <w:r>
        <w:t xml:space="preserve"> </w:t>
      </w:r>
      <w:r w:rsidRPr="00E1760A">
        <w:rPr>
          <w:i/>
          <w:iCs/>
          <w:color w:val="365F91" w:themeColor="accent1" w:themeShade="BF"/>
          <w:sz w:val="18"/>
          <w:szCs w:val="18"/>
        </w:rPr>
        <w:t>l contratto di nolo a caldo è equiparato al contratto di subappalto qualora abbia un importo superiore al 2% o a € 100.000 del valore dei lavori affidati, e comunque il costo della mano d'opera, espletata in cantiere, risulti superiore al 50% dell'importo del sub-affidamento:</w:t>
      </w:r>
    </w:p>
    <w:p w14:paraId="0C8209CA" w14:textId="77777777" w:rsidR="003642EB" w:rsidRPr="00E1760A" w:rsidRDefault="003642EB" w:rsidP="003642EB">
      <w:pPr>
        <w:pStyle w:val="Corpotesto"/>
        <w:ind w:left="113" w:right="-6"/>
        <w:jc w:val="both"/>
        <w:rPr>
          <w:i/>
          <w:iCs/>
          <w:color w:val="365F91" w:themeColor="accent1" w:themeShade="BF"/>
          <w:sz w:val="18"/>
          <w:szCs w:val="18"/>
        </w:rPr>
      </w:pPr>
      <w:r w:rsidRPr="00E1760A">
        <w:rPr>
          <w:i/>
          <w:iCs/>
          <w:color w:val="365F91" w:themeColor="accent1" w:themeShade="BF"/>
          <w:sz w:val="18"/>
          <w:szCs w:val="18"/>
        </w:rPr>
        <w:t>ove il contratto di nolo a caldo raggiunga tali parametri deve essere autorizzato dalla stazione appaltante secondo la procedura ordinaria di durata pari a trenta giorni;</w:t>
      </w:r>
    </w:p>
    <w:p w14:paraId="73BE37B6" w14:textId="77777777" w:rsidR="003642EB" w:rsidRPr="00E1760A" w:rsidRDefault="003642EB" w:rsidP="003642EB">
      <w:pPr>
        <w:pStyle w:val="Corpotesto"/>
        <w:ind w:left="113" w:right="-6"/>
        <w:jc w:val="both"/>
        <w:rPr>
          <w:i/>
          <w:iCs/>
          <w:color w:val="365F91" w:themeColor="accent1" w:themeShade="BF"/>
          <w:sz w:val="18"/>
          <w:szCs w:val="18"/>
        </w:rPr>
      </w:pPr>
      <w:r w:rsidRPr="00E1760A">
        <w:rPr>
          <w:i/>
          <w:iCs/>
          <w:color w:val="365F91" w:themeColor="accent1" w:themeShade="BF"/>
          <w:sz w:val="18"/>
          <w:szCs w:val="18"/>
        </w:rPr>
        <w:t>in mancanza di autorizzazione la giurisprudenza attualmente dominante applica alla fattispecie il regime sanzionatorio previsto dall'art. 21 della L. n. 646 cit. e dalla nullità civile del contratto;</w:t>
      </w:r>
    </w:p>
    <w:p w14:paraId="636C3D32" w14:textId="77777777" w:rsidR="003642EB" w:rsidRPr="00E1760A" w:rsidRDefault="003642EB" w:rsidP="003642EB">
      <w:pPr>
        <w:pStyle w:val="Corpotesto"/>
        <w:ind w:left="113" w:right="-6"/>
        <w:jc w:val="both"/>
        <w:rPr>
          <w:i/>
          <w:iCs/>
          <w:color w:val="365F91" w:themeColor="accent1" w:themeShade="BF"/>
          <w:sz w:val="18"/>
          <w:szCs w:val="18"/>
        </w:rPr>
      </w:pPr>
      <w:r w:rsidRPr="00E1760A">
        <w:rPr>
          <w:i/>
          <w:iCs/>
          <w:color w:val="365F91" w:themeColor="accent1" w:themeShade="BF"/>
          <w:sz w:val="18"/>
          <w:szCs w:val="18"/>
        </w:rPr>
        <w:t xml:space="preserve">ove invece il contratto di nolo a caldo non raggiunga i </w:t>
      </w:r>
      <w:proofErr w:type="gramStart"/>
      <w:r w:rsidRPr="00E1760A">
        <w:rPr>
          <w:i/>
          <w:iCs/>
          <w:color w:val="365F91" w:themeColor="accent1" w:themeShade="BF"/>
          <w:sz w:val="18"/>
          <w:szCs w:val="18"/>
        </w:rPr>
        <w:t>predetti</w:t>
      </w:r>
      <w:proofErr w:type="gramEnd"/>
      <w:r w:rsidRPr="00E1760A">
        <w:rPr>
          <w:i/>
          <w:iCs/>
          <w:color w:val="365F91" w:themeColor="accent1" w:themeShade="BF"/>
          <w:sz w:val="18"/>
          <w:szCs w:val="18"/>
        </w:rPr>
        <w:t xml:space="preserve"> valori non opera l'assimilazione al contratto di subappalto e l'appaltatore è tenuto semplicemente a comunicarne la stipula alla stazione appaltante la cui omissione non comporta conseguenze sanzionatorie penali o invalidanti.</w:t>
      </w:r>
    </w:p>
    <w:p w14:paraId="4A749F93" w14:textId="77777777" w:rsidR="003642EB" w:rsidRPr="00E1760A" w:rsidRDefault="003642EB" w:rsidP="003642EB">
      <w:pPr>
        <w:pStyle w:val="Corpotesto"/>
        <w:ind w:left="113" w:right="-6"/>
        <w:jc w:val="both"/>
        <w:rPr>
          <w:i/>
          <w:iCs/>
          <w:color w:val="365F91" w:themeColor="accent1" w:themeShade="BF"/>
          <w:sz w:val="18"/>
          <w:szCs w:val="18"/>
        </w:rPr>
      </w:pPr>
      <w:r w:rsidRPr="00E1760A">
        <w:rPr>
          <w:i/>
          <w:iCs/>
          <w:color w:val="365F91" w:themeColor="accent1" w:themeShade="BF"/>
          <w:sz w:val="18"/>
          <w:szCs w:val="18"/>
        </w:rPr>
        <w:t xml:space="preserve">Ai sensi di quanto previsto dall’art. 119, comma 2 del </w:t>
      </w:r>
      <w:proofErr w:type="spellStart"/>
      <w:r w:rsidRPr="00E1760A">
        <w:rPr>
          <w:i/>
          <w:iCs/>
          <w:color w:val="365F91" w:themeColor="accent1" w:themeShade="BF"/>
          <w:sz w:val="18"/>
          <w:szCs w:val="18"/>
        </w:rPr>
        <w:t>D.Lgs.</w:t>
      </w:r>
      <w:proofErr w:type="spellEnd"/>
      <w:r w:rsidRPr="00E1760A">
        <w:rPr>
          <w:i/>
          <w:iCs/>
          <w:color w:val="365F91" w:themeColor="accent1" w:themeShade="BF"/>
          <w:sz w:val="18"/>
          <w:szCs w:val="18"/>
        </w:rPr>
        <w:t xml:space="preserve"> 36/2023, costituisce subappalto qualsiasi contratto avente ad oggetto attività del contratto di appalto ovunque espletate che richiedono l’impiego di manodopera.</w:t>
      </w:r>
    </w:p>
    <w:p w14:paraId="1BE8F00C" w14:textId="771AA044" w:rsidR="003642EB" w:rsidRDefault="003642EB">
      <w:pPr>
        <w:pStyle w:val="Testonotaapidipagina"/>
      </w:pPr>
    </w:p>
  </w:footnote>
  <w:footnote w:id="3">
    <w:p w14:paraId="1BA7FCF5" w14:textId="31CF832F" w:rsidR="0026322F" w:rsidRPr="0026322F" w:rsidRDefault="0026322F" w:rsidP="0026322F">
      <w:pPr>
        <w:pStyle w:val="Corpotesto"/>
        <w:ind w:left="113" w:right="-6"/>
        <w:jc w:val="both"/>
        <w:rPr>
          <w:i/>
          <w:iCs/>
          <w:color w:val="365F91" w:themeColor="accent1" w:themeShade="BF"/>
          <w:sz w:val="18"/>
          <w:szCs w:val="18"/>
        </w:rPr>
      </w:pPr>
      <w:r w:rsidRPr="0026322F">
        <w:rPr>
          <w:rStyle w:val="Rimandonotaapidipagina"/>
          <w:sz w:val="18"/>
          <w:szCs w:val="18"/>
        </w:rPr>
        <w:footnoteRef/>
      </w:r>
      <w:r w:rsidRPr="0026322F">
        <w:rPr>
          <w:sz w:val="18"/>
          <w:szCs w:val="18"/>
        </w:rPr>
        <w:t xml:space="preserve"> </w:t>
      </w:r>
      <w:r w:rsidRPr="0026322F">
        <w:rPr>
          <w:i/>
          <w:iCs/>
          <w:color w:val="365F91" w:themeColor="accent1" w:themeShade="BF"/>
          <w:sz w:val="18"/>
          <w:szCs w:val="18"/>
        </w:rPr>
        <w:t xml:space="preserve">NB </w:t>
      </w:r>
      <w:r w:rsidRPr="00C90924">
        <w:rPr>
          <w:i/>
          <w:iCs/>
          <w:color w:val="365F91" w:themeColor="accent1" w:themeShade="BF"/>
          <w:sz w:val="18"/>
          <w:szCs w:val="18"/>
          <w:u w:val="single"/>
        </w:rPr>
        <w:t xml:space="preserve">= </w:t>
      </w:r>
      <w:r w:rsidR="00C90924" w:rsidRPr="00C90924">
        <w:rPr>
          <w:i/>
          <w:iCs/>
          <w:color w:val="365F91" w:themeColor="accent1" w:themeShade="BF"/>
          <w:sz w:val="18"/>
          <w:szCs w:val="18"/>
          <w:u w:val="single"/>
        </w:rPr>
        <w:t>In tema di sicurezza</w:t>
      </w:r>
      <w:r w:rsidR="00C90924">
        <w:rPr>
          <w:i/>
          <w:iCs/>
          <w:color w:val="365F91" w:themeColor="accent1" w:themeShade="BF"/>
          <w:sz w:val="18"/>
          <w:szCs w:val="18"/>
        </w:rPr>
        <w:t xml:space="preserve"> = </w:t>
      </w:r>
      <w:r w:rsidRPr="0026322F">
        <w:rPr>
          <w:i/>
          <w:iCs/>
          <w:color w:val="365F91" w:themeColor="accent1" w:themeShade="BF"/>
          <w:sz w:val="18"/>
          <w:szCs w:val="18"/>
        </w:rPr>
        <w:t xml:space="preserve">nei cantieri temporanei o mobili, il nolo "a caldo", non appare configurabile, come appalto o sub-appalto, pertanto chi </w:t>
      </w:r>
      <w:proofErr w:type="spellStart"/>
      <w:r w:rsidRPr="0026322F">
        <w:rPr>
          <w:i/>
          <w:iCs/>
          <w:color w:val="365F91" w:themeColor="accent1" w:themeShade="BF"/>
          <w:sz w:val="18"/>
          <w:szCs w:val="18"/>
        </w:rPr>
        <w:t>da</w:t>
      </w:r>
      <w:proofErr w:type="spellEnd"/>
      <w:r w:rsidRPr="0026322F">
        <w:rPr>
          <w:i/>
          <w:iCs/>
          <w:color w:val="365F91" w:themeColor="accent1" w:themeShade="BF"/>
          <w:sz w:val="18"/>
          <w:szCs w:val="18"/>
        </w:rPr>
        <w:t xml:space="preserve"> in nolo il macchinario e l'operatore, non avrà l'onere di predisporre il POS</w:t>
      </w:r>
      <w:r w:rsidR="00C90924">
        <w:rPr>
          <w:i/>
          <w:iCs/>
          <w:color w:val="365F91" w:themeColor="accent1" w:themeShade="BF"/>
          <w:sz w:val="18"/>
          <w:szCs w:val="18"/>
        </w:rPr>
        <w:t>.</w:t>
      </w:r>
      <w:r w:rsidRPr="0026322F">
        <w:rPr>
          <w:i/>
          <w:iCs/>
          <w:color w:val="365F91" w:themeColor="accent1" w:themeShade="BF"/>
          <w:sz w:val="18"/>
          <w:szCs w:val="18"/>
        </w:rPr>
        <w:t xml:space="preserve"> </w:t>
      </w:r>
      <w:r w:rsidR="00F8126E">
        <w:rPr>
          <w:i/>
          <w:iCs/>
          <w:color w:val="365F91" w:themeColor="accent1" w:themeShade="BF"/>
          <w:sz w:val="18"/>
          <w:szCs w:val="18"/>
        </w:rPr>
        <w:t>CHI</w:t>
      </w:r>
      <w:r w:rsidRPr="0026322F">
        <w:rPr>
          <w:i/>
          <w:iCs/>
          <w:color w:val="365F91" w:themeColor="accent1" w:themeShade="BF"/>
          <w:sz w:val="18"/>
          <w:szCs w:val="18"/>
        </w:rPr>
        <w:t xml:space="preserve"> invece utilizzerà, cioè il titolare del nolo "a caldo", dovrà adeguare la propria Valutazione dei Rischi inserendo  il mezzo e l'operatore nella organizzazione aziendale di cantiere, verificando che il mezzo sia conforme ai requisiti di legge e che il lavoratore sia stato formato e addestrato all'uso del medesimo.</w:t>
      </w:r>
    </w:p>
    <w:p w14:paraId="169FF2BC" w14:textId="77777777" w:rsidR="0026322F" w:rsidRPr="0026322F" w:rsidRDefault="0026322F" w:rsidP="0026322F">
      <w:pPr>
        <w:pStyle w:val="Corpotesto"/>
        <w:ind w:left="113" w:right="-6"/>
        <w:jc w:val="both"/>
        <w:rPr>
          <w:i/>
          <w:iCs/>
          <w:color w:val="365F91" w:themeColor="accent1" w:themeShade="BF"/>
          <w:sz w:val="18"/>
          <w:szCs w:val="18"/>
        </w:rPr>
      </w:pPr>
      <w:r w:rsidRPr="0026322F">
        <w:rPr>
          <w:i/>
          <w:iCs/>
          <w:color w:val="365F91" w:themeColor="accent1" w:themeShade="BF"/>
          <w:sz w:val="18"/>
          <w:szCs w:val="18"/>
        </w:rPr>
        <w:t>Il Nolo non si configura come un subappalto, ma come “l’affitto” temporaneo di un mezzo d’opera, con “l’affidamento” temporaneo dell’operatore.</w:t>
      </w:r>
    </w:p>
    <w:p w14:paraId="718D771C" w14:textId="112FE4D3" w:rsidR="0026322F" w:rsidRDefault="0026322F">
      <w:pPr>
        <w:pStyle w:val="Testonotaapidipagina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301858" w14:textId="26E0A717" w:rsidR="00DC3274" w:rsidRDefault="005F439C" w:rsidP="005F439C">
    <w:pPr>
      <w:pStyle w:val="Intestazione"/>
      <w:ind w:hanging="709"/>
    </w:pPr>
    <w:r w:rsidRPr="005F439C">
      <w:rPr>
        <w:noProof/>
      </w:rPr>
      <w:drawing>
        <wp:inline distT="0" distB="0" distL="0" distR="0" wp14:anchorId="1376F0CB" wp14:editId="232F76D3">
          <wp:extent cx="2743583" cy="1314633"/>
          <wp:effectExtent l="0" t="0" r="0" b="0"/>
          <wp:docPr id="371325581" name="Immagine 1" descr="Immagine che contiene testo, Carattere, schermata, bianc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1325581" name="Immagine 1" descr="Immagine che contiene testo, Carattere, schermata, bianco&#10;&#10;Descrizione generata automaticament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43583" cy="13146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CAE0EA8" w14:textId="77777777" w:rsidR="007D6974" w:rsidRPr="004535E2" w:rsidRDefault="007D6974" w:rsidP="005F439C">
    <w:pPr>
      <w:pStyle w:val="Intestazione"/>
      <w:ind w:hanging="70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4B6E61"/>
    <w:multiLevelType w:val="hybridMultilevel"/>
    <w:tmpl w:val="94724CE2"/>
    <w:lvl w:ilvl="0" w:tplc="D054B870">
      <w:start w:val="1"/>
      <w:numFmt w:val="lowerLetter"/>
      <w:lvlText w:val="%1)"/>
      <w:lvlJc w:val="left"/>
      <w:pPr>
        <w:ind w:left="965" w:hanging="286"/>
      </w:pPr>
      <w:rPr>
        <w:rFonts w:hint="default"/>
        <w:spacing w:val="-1"/>
        <w:w w:val="100"/>
        <w:lang w:val="it-IT" w:eastAsia="it-IT" w:bidi="it-IT"/>
      </w:rPr>
    </w:lvl>
    <w:lvl w:ilvl="1" w:tplc="1A44E9D4">
      <w:numFmt w:val="bullet"/>
      <w:lvlText w:val="•"/>
      <w:lvlJc w:val="left"/>
      <w:pPr>
        <w:ind w:left="1935" w:hanging="286"/>
      </w:pPr>
      <w:rPr>
        <w:rFonts w:hint="default"/>
        <w:lang w:val="it-IT" w:eastAsia="it-IT" w:bidi="it-IT"/>
      </w:rPr>
    </w:lvl>
    <w:lvl w:ilvl="2" w:tplc="FAE48962">
      <w:numFmt w:val="bullet"/>
      <w:lvlText w:val="•"/>
      <w:lvlJc w:val="left"/>
      <w:pPr>
        <w:ind w:left="2911" w:hanging="286"/>
      </w:pPr>
      <w:rPr>
        <w:rFonts w:hint="default"/>
        <w:lang w:val="it-IT" w:eastAsia="it-IT" w:bidi="it-IT"/>
      </w:rPr>
    </w:lvl>
    <w:lvl w:ilvl="3" w:tplc="1A4051BC">
      <w:numFmt w:val="bullet"/>
      <w:lvlText w:val="•"/>
      <w:lvlJc w:val="left"/>
      <w:pPr>
        <w:ind w:left="3887" w:hanging="286"/>
      </w:pPr>
      <w:rPr>
        <w:rFonts w:hint="default"/>
        <w:lang w:val="it-IT" w:eastAsia="it-IT" w:bidi="it-IT"/>
      </w:rPr>
    </w:lvl>
    <w:lvl w:ilvl="4" w:tplc="175EE898">
      <w:numFmt w:val="bullet"/>
      <w:lvlText w:val="•"/>
      <w:lvlJc w:val="left"/>
      <w:pPr>
        <w:ind w:left="4863" w:hanging="286"/>
      </w:pPr>
      <w:rPr>
        <w:rFonts w:hint="default"/>
        <w:lang w:val="it-IT" w:eastAsia="it-IT" w:bidi="it-IT"/>
      </w:rPr>
    </w:lvl>
    <w:lvl w:ilvl="5" w:tplc="BA3AF674">
      <w:numFmt w:val="bullet"/>
      <w:lvlText w:val="•"/>
      <w:lvlJc w:val="left"/>
      <w:pPr>
        <w:ind w:left="5839" w:hanging="286"/>
      </w:pPr>
      <w:rPr>
        <w:rFonts w:hint="default"/>
        <w:lang w:val="it-IT" w:eastAsia="it-IT" w:bidi="it-IT"/>
      </w:rPr>
    </w:lvl>
    <w:lvl w:ilvl="6" w:tplc="4308D8E6">
      <w:numFmt w:val="bullet"/>
      <w:lvlText w:val="•"/>
      <w:lvlJc w:val="left"/>
      <w:pPr>
        <w:ind w:left="6815" w:hanging="286"/>
      </w:pPr>
      <w:rPr>
        <w:rFonts w:hint="default"/>
        <w:lang w:val="it-IT" w:eastAsia="it-IT" w:bidi="it-IT"/>
      </w:rPr>
    </w:lvl>
    <w:lvl w:ilvl="7" w:tplc="8ECA6F96">
      <w:numFmt w:val="bullet"/>
      <w:lvlText w:val="•"/>
      <w:lvlJc w:val="left"/>
      <w:pPr>
        <w:ind w:left="7791" w:hanging="286"/>
      </w:pPr>
      <w:rPr>
        <w:rFonts w:hint="default"/>
        <w:lang w:val="it-IT" w:eastAsia="it-IT" w:bidi="it-IT"/>
      </w:rPr>
    </w:lvl>
    <w:lvl w:ilvl="8" w:tplc="6F300D4E">
      <w:numFmt w:val="bullet"/>
      <w:lvlText w:val="•"/>
      <w:lvlJc w:val="left"/>
      <w:pPr>
        <w:ind w:left="8767" w:hanging="286"/>
      </w:pPr>
      <w:rPr>
        <w:rFonts w:hint="default"/>
        <w:lang w:val="it-IT" w:eastAsia="it-IT" w:bidi="it-IT"/>
      </w:rPr>
    </w:lvl>
  </w:abstractNum>
  <w:abstractNum w:abstractNumId="1" w15:restartNumberingAfterBreak="0">
    <w:nsid w:val="16F859FD"/>
    <w:multiLevelType w:val="hybridMultilevel"/>
    <w:tmpl w:val="A2A8B8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372C23E">
      <w:numFmt w:val="bullet"/>
      <w:lvlText w:val="•"/>
      <w:lvlJc w:val="left"/>
      <w:pPr>
        <w:ind w:left="1656" w:hanging="576"/>
      </w:pPr>
      <w:rPr>
        <w:rFonts w:ascii="Gill Sans MT" w:eastAsia="Bookman Old Style" w:hAnsi="Gill Sans MT" w:cs="Gill Sans MT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077C39"/>
    <w:multiLevelType w:val="hybridMultilevel"/>
    <w:tmpl w:val="C5EECEE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F30E14"/>
    <w:multiLevelType w:val="multilevel"/>
    <w:tmpl w:val="B3E4C0AA"/>
    <w:lvl w:ilvl="0">
      <w:numFmt w:val="bullet"/>
      <w:lvlText w:val="-"/>
      <w:lvlJc w:val="left"/>
      <w:pPr>
        <w:tabs>
          <w:tab w:val="left" w:pos="144"/>
        </w:tabs>
        <w:ind w:left="0" w:firstLine="0"/>
      </w:pPr>
      <w:rPr>
        <w:rFonts w:ascii="Symbol" w:eastAsia="Symbol" w:hAnsi="Symbol"/>
        <w:b/>
        <w:color w:val="000000"/>
        <w:spacing w:val="11"/>
        <w:w w:val="100"/>
        <w:sz w:val="18"/>
        <w:vertAlign w:val="baseline"/>
        <w:lang w:val="it-IT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" w15:restartNumberingAfterBreak="0">
    <w:nsid w:val="61B058F9"/>
    <w:multiLevelType w:val="hybridMultilevel"/>
    <w:tmpl w:val="345C24A0"/>
    <w:lvl w:ilvl="0" w:tplc="7D361F34">
      <w:start w:val="1"/>
      <w:numFmt w:val="decimal"/>
      <w:lvlText w:val="%1."/>
      <w:lvlJc w:val="left"/>
      <w:pPr>
        <w:ind w:left="679" w:hanging="579"/>
      </w:pPr>
      <w:rPr>
        <w:rFonts w:ascii="Gill Sans MT" w:eastAsia="Gill Sans MT" w:hAnsi="Gill Sans MT" w:cs="Gill Sans MT" w:hint="default"/>
        <w:w w:val="100"/>
        <w:sz w:val="22"/>
        <w:szCs w:val="22"/>
        <w:lang w:val="it-IT" w:eastAsia="it-IT" w:bidi="it-IT"/>
      </w:rPr>
    </w:lvl>
    <w:lvl w:ilvl="1" w:tplc="55728D16">
      <w:numFmt w:val="bullet"/>
      <w:lvlText w:val="-"/>
      <w:lvlJc w:val="left"/>
      <w:pPr>
        <w:ind w:left="821" w:hanging="142"/>
      </w:pPr>
      <w:rPr>
        <w:rFonts w:hint="default"/>
        <w:w w:val="100"/>
        <w:lang w:val="it-IT" w:eastAsia="it-IT" w:bidi="it-IT"/>
      </w:rPr>
    </w:lvl>
    <w:lvl w:ilvl="2" w:tplc="F02A2F3C">
      <w:numFmt w:val="bullet"/>
      <w:lvlText w:val="•"/>
      <w:lvlJc w:val="left"/>
      <w:pPr>
        <w:ind w:left="1919" w:hanging="142"/>
      </w:pPr>
      <w:rPr>
        <w:rFonts w:hint="default"/>
        <w:lang w:val="it-IT" w:eastAsia="it-IT" w:bidi="it-IT"/>
      </w:rPr>
    </w:lvl>
    <w:lvl w:ilvl="3" w:tplc="91501610">
      <w:numFmt w:val="bullet"/>
      <w:lvlText w:val="•"/>
      <w:lvlJc w:val="left"/>
      <w:pPr>
        <w:ind w:left="3019" w:hanging="142"/>
      </w:pPr>
      <w:rPr>
        <w:rFonts w:hint="default"/>
        <w:lang w:val="it-IT" w:eastAsia="it-IT" w:bidi="it-IT"/>
      </w:rPr>
    </w:lvl>
    <w:lvl w:ilvl="4" w:tplc="D6E4A336">
      <w:numFmt w:val="bullet"/>
      <w:lvlText w:val="•"/>
      <w:lvlJc w:val="left"/>
      <w:pPr>
        <w:ind w:left="4119" w:hanging="142"/>
      </w:pPr>
      <w:rPr>
        <w:rFonts w:hint="default"/>
        <w:lang w:val="it-IT" w:eastAsia="it-IT" w:bidi="it-IT"/>
      </w:rPr>
    </w:lvl>
    <w:lvl w:ilvl="5" w:tplc="F74CBCDC">
      <w:numFmt w:val="bullet"/>
      <w:lvlText w:val="•"/>
      <w:lvlJc w:val="left"/>
      <w:pPr>
        <w:ind w:left="5219" w:hanging="142"/>
      </w:pPr>
      <w:rPr>
        <w:rFonts w:hint="default"/>
        <w:lang w:val="it-IT" w:eastAsia="it-IT" w:bidi="it-IT"/>
      </w:rPr>
    </w:lvl>
    <w:lvl w:ilvl="6" w:tplc="B920AF92">
      <w:numFmt w:val="bullet"/>
      <w:lvlText w:val="•"/>
      <w:lvlJc w:val="left"/>
      <w:pPr>
        <w:ind w:left="6319" w:hanging="142"/>
      </w:pPr>
      <w:rPr>
        <w:rFonts w:hint="default"/>
        <w:lang w:val="it-IT" w:eastAsia="it-IT" w:bidi="it-IT"/>
      </w:rPr>
    </w:lvl>
    <w:lvl w:ilvl="7" w:tplc="1F88F94E">
      <w:numFmt w:val="bullet"/>
      <w:lvlText w:val="•"/>
      <w:lvlJc w:val="left"/>
      <w:pPr>
        <w:ind w:left="7419" w:hanging="142"/>
      </w:pPr>
      <w:rPr>
        <w:rFonts w:hint="default"/>
        <w:lang w:val="it-IT" w:eastAsia="it-IT" w:bidi="it-IT"/>
      </w:rPr>
    </w:lvl>
    <w:lvl w:ilvl="8" w:tplc="C41AB030">
      <w:numFmt w:val="bullet"/>
      <w:lvlText w:val="•"/>
      <w:lvlJc w:val="left"/>
      <w:pPr>
        <w:ind w:left="8519" w:hanging="142"/>
      </w:pPr>
      <w:rPr>
        <w:rFonts w:hint="default"/>
        <w:lang w:val="it-IT" w:eastAsia="it-IT" w:bidi="it-IT"/>
      </w:rPr>
    </w:lvl>
  </w:abstractNum>
  <w:abstractNum w:abstractNumId="5" w15:restartNumberingAfterBreak="0">
    <w:nsid w:val="69CA38DF"/>
    <w:multiLevelType w:val="multilevel"/>
    <w:tmpl w:val="23AC0A0E"/>
    <w:lvl w:ilvl="0">
      <w:numFmt w:val="bullet"/>
      <w:lvlText w:val="·"/>
      <w:lvlJc w:val="left"/>
      <w:pPr>
        <w:tabs>
          <w:tab w:val="left" w:pos="576"/>
        </w:tabs>
        <w:ind w:left="0" w:firstLine="0"/>
      </w:pPr>
      <w:rPr>
        <w:rFonts w:ascii="Symbol" w:eastAsia="Symbol" w:hAnsi="Symbol"/>
        <w:b/>
        <w:color w:val="000000"/>
        <w:spacing w:val="11"/>
        <w:w w:val="100"/>
        <w:sz w:val="18"/>
        <w:vertAlign w:val="baseline"/>
        <w:lang w:val="it-IT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 w16cid:durableId="993525873">
    <w:abstractNumId w:val="0"/>
  </w:num>
  <w:num w:numId="2" w16cid:durableId="1613514247">
    <w:abstractNumId w:val="4"/>
  </w:num>
  <w:num w:numId="3" w16cid:durableId="1539851148">
    <w:abstractNumId w:val="5"/>
  </w:num>
  <w:num w:numId="4" w16cid:durableId="26100768">
    <w:abstractNumId w:val="3"/>
  </w:num>
  <w:num w:numId="5" w16cid:durableId="588195348">
    <w:abstractNumId w:val="1"/>
  </w:num>
  <w:num w:numId="6" w16cid:durableId="41944579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3274"/>
    <w:rsid w:val="0000311B"/>
    <w:rsid w:val="000255C7"/>
    <w:rsid w:val="000D770D"/>
    <w:rsid w:val="00140C60"/>
    <w:rsid w:val="00167BBE"/>
    <w:rsid w:val="001975AD"/>
    <w:rsid w:val="0026322F"/>
    <w:rsid w:val="002E395B"/>
    <w:rsid w:val="00342409"/>
    <w:rsid w:val="003642EB"/>
    <w:rsid w:val="00386150"/>
    <w:rsid w:val="003E10AD"/>
    <w:rsid w:val="004460C2"/>
    <w:rsid w:val="004535E2"/>
    <w:rsid w:val="004C6DFB"/>
    <w:rsid w:val="004E6765"/>
    <w:rsid w:val="00521FB3"/>
    <w:rsid w:val="00582020"/>
    <w:rsid w:val="00590586"/>
    <w:rsid w:val="005B132B"/>
    <w:rsid w:val="005F439C"/>
    <w:rsid w:val="00613B3F"/>
    <w:rsid w:val="006468A1"/>
    <w:rsid w:val="00691D6D"/>
    <w:rsid w:val="006B3C72"/>
    <w:rsid w:val="007212C5"/>
    <w:rsid w:val="0072398B"/>
    <w:rsid w:val="007463F9"/>
    <w:rsid w:val="007905CB"/>
    <w:rsid w:val="00791FA1"/>
    <w:rsid w:val="007B5DEE"/>
    <w:rsid w:val="007D6974"/>
    <w:rsid w:val="007E2BF6"/>
    <w:rsid w:val="008A6E6D"/>
    <w:rsid w:val="009102A8"/>
    <w:rsid w:val="00946D5F"/>
    <w:rsid w:val="00953EE5"/>
    <w:rsid w:val="009B7187"/>
    <w:rsid w:val="009C7359"/>
    <w:rsid w:val="009D4217"/>
    <w:rsid w:val="00A30293"/>
    <w:rsid w:val="00A617A3"/>
    <w:rsid w:val="00AA0A22"/>
    <w:rsid w:val="00AA0F70"/>
    <w:rsid w:val="00AB2694"/>
    <w:rsid w:val="00B4227F"/>
    <w:rsid w:val="00B5266F"/>
    <w:rsid w:val="00B804E5"/>
    <w:rsid w:val="00C90924"/>
    <w:rsid w:val="00CF4D97"/>
    <w:rsid w:val="00D21B01"/>
    <w:rsid w:val="00D34FB9"/>
    <w:rsid w:val="00D47EDD"/>
    <w:rsid w:val="00D637BE"/>
    <w:rsid w:val="00D76452"/>
    <w:rsid w:val="00D948D1"/>
    <w:rsid w:val="00DA19B6"/>
    <w:rsid w:val="00DC3274"/>
    <w:rsid w:val="00E1760A"/>
    <w:rsid w:val="00E44A07"/>
    <w:rsid w:val="00E46046"/>
    <w:rsid w:val="00EB1FF3"/>
    <w:rsid w:val="00EC6E16"/>
    <w:rsid w:val="00EE14D1"/>
    <w:rsid w:val="00F63A6E"/>
    <w:rsid w:val="00F812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D92F0C"/>
  <w15:docId w15:val="{68C38E08-A254-4C5A-99B5-D8D2138E42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AA0F70"/>
    <w:rPr>
      <w:rFonts w:ascii="Gill Sans MT" w:eastAsia="Gill Sans MT" w:hAnsi="Gill Sans MT" w:cs="Gill Sans MT"/>
      <w:lang w:val="it-IT" w:eastAsia="it-IT" w:bidi="it-IT"/>
    </w:rPr>
  </w:style>
  <w:style w:type="paragraph" w:styleId="Titolo1">
    <w:name w:val="heading 1"/>
    <w:basedOn w:val="Normale"/>
    <w:uiPriority w:val="9"/>
    <w:qFormat/>
    <w:pPr>
      <w:ind w:left="112"/>
      <w:jc w:val="both"/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link w:val="CorpotestoCarattere"/>
    <w:uiPriority w:val="1"/>
    <w:qFormat/>
  </w:style>
  <w:style w:type="paragraph" w:styleId="Paragrafoelenco">
    <w:name w:val="List Paragraph"/>
    <w:basedOn w:val="Normale"/>
    <w:uiPriority w:val="1"/>
    <w:qFormat/>
    <w:pPr>
      <w:ind w:left="679" w:hanging="579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4535E2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4535E2"/>
    <w:rPr>
      <w:rFonts w:ascii="Gill Sans MT" w:eastAsia="Gill Sans MT" w:hAnsi="Gill Sans MT" w:cs="Gill Sans MT"/>
      <w:lang w:val="it-IT" w:eastAsia="it-IT" w:bidi="it-IT"/>
    </w:rPr>
  </w:style>
  <w:style w:type="paragraph" w:styleId="Pidipagina">
    <w:name w:val="footer"/>
    <w:basedOn w:val="Normale"/>
    <w:link w:val="PidipaginaCarattere"/>
    <w:uiPriority w:val="99"/>
    <w:unhideWhenUsed/>
    <w:rsid w:val="004535E2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4535E2"/>
    <w:rPr>
      <w:rFonts w:ascii="Gill Sans MT" w:eastAsia="Gill Sans MT" w:hAnsi="Gill Sans MT" w:cs="Gill Sans MT"/>
      <w:lang w:val="it-IT" w:eastAsia="it-IT" w:bidi="it-IT"/>
    </w:rPr>
  </w:style>
  <w:style w:type="character" w:customStyle="1" w:styleId="A0">
    <w:name w:val="A0"/>
    <w:uiPriority w:val="99"/>
    <w:rsid w:val="004535E2"/>
    <w:rPr>
      <w:rFonts w:cs="GillSans"/>
      <w:color w:val="000000"/>
      <w:sz w:val="14"/>
      <w:szCs w:val="14"/>
    </w:rPr>
  </w:style>
  <w:style w:type="character" w:styleId="Enfasigrassetto">
    <w:name w:val="Strong"/>
    <w:basedOn w:val="Carpredefinitoparagrafo"/>
    <w:uiPriority w:val="22"/>
    <w:qFormat/>
    <w:rsid w:val="0000311B"/>
    <w:rPr>
      <w:b/>
      <w:bCs/>
    </w:rPr>
  </w:style>
  <w:style w:type="paragraph" w:styleId="Testonotaapidipagina">
    <w:name w:val="footnote text"/>
    <w:basedOn w:val="Normale"/>
    <w:link w:val="TestonotaapidipaginaCarattere"/>
    <w:uiPriority w:val="99"/>
    <w:unhideWhenUsed/>
    <w:rsid w:val="0026322F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26322F"/>
    <w:rPr>
      <w:rFonts w:ascii="Gill Sans MT" w:eastAsia="Gill Sans MT" w:hAnsi="Gill Sans MT" w:cs="Gill Sans MT"/>
      <w:sz w:val="20"/>
      <w:szCs w:val="20"/>
      <w:lang w:val="it-IT" w:eastAsia="it-IT" w:bidi="it-IT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26322F"/>
    <w:rPr>
      <w:vertAlign w:val="superscript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26322F"/>
    <w:rPr>
      <w:rFonts w:ascii="Gill Sans MT" w:eastAsia="Gill Sans MT" w:hAnsi="Gill Sans MT" w:cs="Gill Sans MT"/>
      <w:lang w:val="it-IT" w:eastAsia="it-IT" w:bidi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079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20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94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0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97406D-C3BF-436B-9B73-5A0A589F9D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3</Pages>
  <Words>740</Words>
  <Characters>4221</Characters>
  <Application>Microsoft Office Word</Application>
  <DocSecurity>0</DocSecurity>
  <Lines>35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 di Microsoft Office</dc:creator>
  <cp:lastModifiedBy>Considerazione</cp:lastModifiedBy>
  <cp:revision>28</cp:revision>
  <cp:lastPrinted>2020-07-29T07:57:00Z</cp:lastPrinted>
  <dcterms:created xsi:type="dcterms:W3CDTF">2024-05-08T21:30:00Z</dcterms:created>
  <dcterms:modified xsi:type="dcterms:W3CDTF">2024-05-13T13:40:00Z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2019-11-26T00:00:00Z</vt:filetime>
  </property>
  <property fmtid="{D5CDD505-2E9C-101B-9397-08002B2CF9AE}" pid="3" name="Creator">
    <vt:lpwstr>Microsoft® Word per Office 365</vt:lpwstr>
  </property>
  <property fmtid="{D5CDD505-2E9C-101B-9397-08002B2CF9AE}" pid="4" name="LastSaved">
    <vt:filetime>2020-07-29T00:00:00Z</vt:filetime>
  </property>
</Properties>
</file>